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0" w:before="0"/>
        <w:jc w:val="right"/>
        <w:bidi w:val="1"/>
      </w:pPr>
      <w:r>
        <w:rPr>
          <w:rFonts w:ascii="Noto Sans Arabic" w:hAnsi="Noto Sans Arabic" w:cs="Noto Sans Arabic" w:eastAsia="Noto Sans Arabic"/>
          <w:b/>
          <w:sz w:val="44"/>
          <w:rtl w:val="1"/>
        </w:rPr>
        <w:t>قائمة مراجعة الآثار الجانبية للأدوية النفسية</w:t>
      </w:r>
    </w:p>
    <w:p>
      <w:pPr>
        <w:spacing w:after="0" w:before="0"/>
        <w:jc w:val="right"/>
        <w:bidi w:val="1"/>
      </w:pPr>
      <w:r>
        <w:rPr>
          <w:rFonts w:ascii="Noto Sans Arabic" w:hAnsi="Noto Sans Arabic" w:cs="Noto Sans Arabic" w:eastAsia="Noto Naskh Arabic"/>
          <w:color w:val="365E54"/>
          <w:sz w:val="22"/>
          <w:rtl w:val="1"/>
        </w:rPr>
        <w:t>مسح منظم للأعراض مع تحديد الخطورة والأثر والارتباط الزمني</w:t>
      </w:r>
    </w:p>
    <w:p>
      <w:pPr>
        <w:spacing w:after="0" w:before="0"/>
        <w:jc w:val="right"/>
        <w:bidi w:val="1"/>
      </w:pPr>
      <w:r>
        <w:rPr>
          <w:rFonts w:ascii="Noto Sans Arabic" w:hAnsi="Noto Sans Arabic" w:cs="Noto Sans Arabic" w:eastAsia="Noto Naskh Arabic"/>
          <w:color w:val="666666"/>
          <w:sz w:val="17"/>
        </w:rPr>
        <w:t>رمز النموذج: DKMH-LIB-MED-02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هذه القائمة أداة كشف وتوثيق وليست أداة تشخيص مستقل أو تعليمات لإيقاف الدواء. أي عرض شديد أو مفاجئ أو مصحوب بعلامات خطر يستلزم تقييماً طبياً عاجلاً وفق السياق.</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المراجعة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1"/>
                <w:alias w:val="DKMH_02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الدواء/الأدوية موضع المراجعة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2"/>
                <w:alias w:val="DKMH_02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الجرعات وآخر تغيير</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3"/>
                <w:alias w:val="DKMH_02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المراجعة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4"/>
                <w:alias w:val="DKMH_02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5"/>
                <w:alias w:val="DKMH_02_F005"/>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طريقة الترميز</w:t>
      </w:r>
    </w:p>
    <w:p>
      <w:pPr>
        <w:spacing w:after="0" w:before="0"/>
        <w:ind w:left="72" w:hanging="72"/>
        <w:jc w:val="right"/>
        <w:bidi w:val="1"/>
      </w:pPr>
      <w:r>
        <w:rPr>
          <w:rFonts w:ascii="Noto Sans Arabic" w:hAnsi="Noto Sans Arabic" w:cs="Noto Sans Arabic" w:eastAsia="Noto Naskh Arabic"/>
          <w:b w:val="0"/>
          <w:sz w:val="19"/>
        </w:rPr>
        <w:t>• للأعراض الروتينية التي يصفها الشخص: 0 غير موجود، 1 خفيف، 2 متوسط، 3 شديد.</w:t>
      </w:r>
    </w:p>
    <w:p>
      <w:pPr>
        <w:spacing w:after="0" w:before="0"/>
        <w:ind w:left="72" w:hanging="72"/>
        <w:jc w:val="right"/>
        <w:bidi w:val="1"/>
      </w:pPr>
      <w:r>
        <w:rPr>
          <w:rFonts w:ascii="Noto Sans Arabic" w:hAnsi="Noto Sans Arabic" w:cs="Noto Sans Arabic" w:eastAsia="Noto Naskh Arabic"/>
          <w:b w:val="0"/>
          <w:sz w:val="19"/>
        </w:rPr>
        <w:t>• للمعلومات أو النتائج الموضوعية مثل السكر والدهون واحتمال الحمل: استخدم نعم/لا/غير معروف، وسجّل النتيجة الرقمية والتاريخ والمصدر عند توفرها.</w:t>
      </w:r>
    </w:p>
    <w:p>
      <w:pPr>
        <w:spacing w:after="0" w:before="0"/>
        <w:ind w:left="72" w:hanging="72"/>
        <w:jc w:val="right"/>
        <w:bidi w:val="1"/>
      </w:pPr>
      <w:r>
        <w:rPr>
          <w:rFonts w:ascii="Noto Sans Arabic" w:hAnsi="Noto Sans Arabic" w:cs="Noto Sans Arabic" w:eastAsia="Noto Naskh Arabic"/>
          <w:b w:val="0"/>
          <w:color w:val="8D4A48"/>
          <w:sz w:val="19"/>
        </w:rPr>
        <w:t>• علامات بوابة السلامة لا تُدرج في مقياس الشدة العام. وجودها أو تعذر تقييمها يستدعي تقييماً مستقلاً وإجراءً فورياً؛ ولا يجوز افتراض أن سببها الدواء قبل استبعاد الأسباب الطبية والنفسية الأخرى.</w:t>
      </w:r>
    </w:p>
    <w:p>
      <w:pPr>
        <w:pStyle w:val="Heading2"/>
        <w:spacing w:after="0" w:before="0"/>
        <w:jc w:val="right"/>
        <w:bidi w:val="1"/>
      </w:pPr>
      <w:r>
        <w:rPr>
          <w:rFonts w:ascii="Noto Sans Arabic" w:hAnsi="Noto Sans Arabic" w:cs="Noto Sans Arabic" w:eastAsia="Noto Sans Arabic"/>
          <w:sz w:val="26"/>
          <w:rtl w:val="1"/>
        </w:rPr>
        <w:t>اليقظة والنوم والإدراك</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نعاس نهاري</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6"/>
                <w:alias w:val="DKMH_02_F00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7"/>
                <w:alias w:val="DKMH_02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أرق</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8"/>
                <w:alias w:val="DKMH_02_F008"/>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9"/>
                <w:alias w:val="DKMH_02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دوخة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0"/>
                <w:alias w:val="DKMH_02_F010"/>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1"/>
                <w:alias w:val="DKMH_02_F01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بطء أو تشوش ذهني</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2"/>
                <w:alias w:val="DKMH_02_F012"/>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3"/>
                <w:alias w:val="DKMH_02_F01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ضعف تركيز</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4"/>
                <w:alias w:val="DKMH_02_F014"/>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5"/>
                <w:alias w:val="DKMH_02_F01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صداع</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6"/>
                <w:alias w:val="DKMH_02_F016"/>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7"/>
                <w:alias w:val="DKMH_02_F01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الحركة والجهاز العصبي</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رجفة</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تيبس</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بطء حركة</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تململ/أكاثيزيا</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حركات لا إرادية بالفم أو الأطراف</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الاستقلاب والشهية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زيادة شهية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2"/>
                <w:alias w:val="DKMH_02_F032"/>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3"/>
                <w:alias w:val="DKMH_02_F03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زيادة وزن</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4"/>
                <w:alias w:val="DKMH_02_F034"/>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5"/>
                <w:alias w:val="DKMH_02_F03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نقص وزن</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6"/>
                <w:alias w:val="DKMH_02_F03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7"/>
                <w:alias w:val="DKMH_02_F03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عطش أو تبول زائد</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8"/>
                <w:alias w:val="DKMH_02_F038"/>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9"/>
                <w:alias w:val="DKMH_02_F03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ارتفاع سكر معروف</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لا  ☐ نعم  ☐ غير معروف</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النتيجة/التاريخ: </w:t>
            </w:r>
            <w:sdt>
              <w:sdtPr>
                <w:tag w:val="DKMH_02_F040"/>
                <w:alias w:val="DKMH_02_F040"/>
                <w:text/>
              </w:sdtPr>
              <w:sdtContent>
                <w:r>
                  <w:rPr>
                    <w:rFonts w:ascii="Noto Naskh Arabic" w:hAnsi="Noto Naskh Arabic" w:cs="Noto Naskh Arabic" w:eastAsia="Noto Naskh Arabic"/>
                    <w:b w:val="0"/>
                    <w:sz w:val="17"/>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المصدر والإجراء: </w:t>
            </w:r>
            <w:sdt>
              <w:sdtPr>
                <w:tag w:val="DKMH_02_F041"/>
                <w:alias w:val="DKMH_02_F041"/>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تغير دهون معروف</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لا  ☐ نعم  ☐ غير معروف</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النتيجة/التاريخ: </w:t>
            </w:r>
            <w:sdt>
              <w:sdtPr>
                <w:tag w:val="DKMH_02_F042"/>
                <w:alias w:val="DKMH_02_F042"/>
                <w:text/>
              </w:sdtPr>
              <w:sdtContent>
                <w:r>
                  <w:rPr>
                    <w:rFonts w:ascii="Noto Naskh Arabic" w:hAnsi="Noto Naskh Arabic" w:cs="Noto Naskh Arabic" w:eastAsia="Noto Naskh Arabic"/>
                    <w:b w:val="0"/>
                    <w:sz w:val="17"/>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المصدر والإجراء: </w:t>
            </w:r>
            <w:sdt>
              <w:sdtPr>
                <w:tag w:val="DKMH_02_F043"/>
                <w:alias w:val="DKMH_02_F043"/>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القلب والدورة الدموية</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خفقان غير مصحوب بانهيار</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دوخة عند الوقوف</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تورم الأطراف</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تغير ضغط معروف</w:t>
            </w:r>
          </w:p>
        </w:tc>
        <w:tc>
          <w:tcPr>
            <w:tcW w:type="dxa" w:w="1814"/>
            <w:vAlign w:val="center"/>
          </w:tcPr>
          <w:p>
            <w:pPr>
              <w:jc w:val="right"/>
              <w:bidi/>
            </w:pPr>
            <w:r>
              <w:rPr>
                <w:rFonts w:ascii="Noto Sans Arabic" w:hAnsi="Noto Sans Arabic" w:cs="Noto Sans Arabic"/>
                <w:sz w:val="16"/>
              </w:rPr>
              <w:t>☐ لا ☐ نعم ☐ غير معروف</w:t>
            </w:r>
          </w:p>
        </w:tc>
        <w:tc>
          <w:tcPr>
            <w:tcW w:type="dxa" w:w="2381"/>
            <w:vAlign w:val="center"/>
          </w:tcPr>
          <w:p>
            <w:pPr>
              <w:jc w:val="right"/>
              <w:bidi/>
            </w:pPr>
            <w:r>
              <w:rPr>
                <w:rFonts w:ascii="Noto Sans Arabic" w:hAnsi="Noto Sans Arabic" w:cs="Noto Sans Arabic"/>
                <w:sz w:val="16"/>
              </w:rPr>
              <w:t>النتيجة/التاريخ:</w:t>
            </w:r>
          </w:p>
        </w:tc>
        <w:tc>
          <w:tcPr>
            <w:tcW w:type="dxa" w:w="2494"/>
            <w:vAlign w:val="center"/>
          </w:tcPr>
          <w:p>
            <w:pPr>
              <w:jc w:val="right"/>
              <w:bidi/>
            </w:pPr>
            <w:r>
              <w:rPr>
                <w:rFonts w:ascii="Noto Sans Arabic" w:hAnsi="Noto Sans Arabic" w:cs="Noto Sans Arabic"/>
                <w:sz w:val="16"/>
              </w:rPr>
              <w:t>المصدر والإجراء:</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الهضم والجهاز البولي</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غثيان/قيء</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6"/>
                <w:alias w:val="DKMH_02_F05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7"/>
                <w:alias w:val="DKMH_02_F05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إمساك</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8"/>
                <w:alias w:val="DKMH_02_F058"/>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9"/>
                <w:alias w:val="DKMH_02_F05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إسهال</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0"/>
                <w:alias w:val="DKMH_02_F060"/>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1"/>
                <w:alias w:val="DKMH_02_F06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ألم بطني</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2"/>
                <w:alias w:val="DKMH_02_F062"/>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3"/>
                <w:alias w:val="DKMH_02_F06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جفاف فم</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4"/>
                <w:alias w:val="DKMH_02_F064"/>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5"/>
                <w:alias w:val="DKMH_02_F06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صعوبة تبول/احتباس</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6"/>
                <w:alias w:val="DKMH_02_F066"/>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7"/>
                <w:alias w:val="DKMH_02_F06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الهرمونات والوظيفة الجنسية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انخفاض الرغبة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8"/>
                <w:alias w:val="DKMH_02_F068"/>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9"/>
                <w:alias w:val="DKMH_02_F06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ضعف الانتصاب/القذف</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0"/>
                <w:alias w:val="DKMH_02_F070"/>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1"/>
                <w:alias w:val="DKMH_02_F07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اضطراب الدورة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2"/>
                <w:alias w:val="DKMH_02_F072"/>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3"/>
                <w:alias w:val="DKMH_02_F07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إفراز حليب</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4"/>
                <w:alias w:val="DKMH_02_F074"/>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5"/>
                <w:alias w:val="DKMH_02_F07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ألم/تضخم الثدي</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6"/>
                <w:alias w:val="DKMH_02_F07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7"/>
                <w:alias w:val="DKMH_02_F07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احتمال حمل أو تأخر دورة</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لا  ☐ نعم  ☐ غير معروف</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التاريخ/الاختبار إن وجد: </w:t>
            </w:r>
            <w:sdt>
              <w:sdtPr>
                <w:tag w:val="DKMH_02_F078"/>
                <w:alias w:val="DKMH_02_F078"/>
                <w:text/>
              </w:sdtPr>
              <w:sdtContent>
                <w:r>
                  <w:rPr>
                    <w:rFonts w:ascii="Noto Naskh Arabic" w:hAnsi="Noto Naskh Arabic" w:cs="Noto Naskh Arabic" w:eastAsia="Noto Naskh Arabic"/>
                    <w:b w:val="0"/>
                    <w:sz w:val="17"/>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الإجراء/الإحالة: </w:t>
            </w:r>
            <w:sdt>
              <w:sdtPr>
                <w:tag w:val="DKMH_02_F079"/>
                <w:alias w:val="DKMH_02_F079"/>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الجلد والحساسية والتنظيم الحراري</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طفح محدود غير متفاقم</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حكة</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حمى</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تعرق شديد</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حساسية للشمس</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المزاج والسلوك</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تدهور مزاج</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اندفاع أو سلوك مخاطرة دون خطر وشيك</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نشاط زائد أو قلة نوم</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تغير سلوكي جديد غير حاد</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b w:val="0"/>
          <w:sz w:val="26"/>
          <w:rtl w:val="1"/>
        </w:rPr>
        <w:t>بوابات السلامة والتصعيد الفوري</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3402"/>
            <w:vAlign w:val="center"/>
            <w:shd w:fill="D9E8E6"/>
          </w:tcPr>
          <w:p>
            <w:pPr>
              <w:jc w:val="right"/>
              <w:bidi/>
            </w:pPr>
            <w:r>
              <w:rPr>
                <w:rFonts w:ascii="Noto Sans Arabic" w:hAnsi="Noto Sans Arabic" w:cs="Noto Sans Arabic"/>
                <w:b/>
                <w:sz w:val="16"/>
              </w:rPr>
              <w:t>بوابة السلامة</w:t>
            </w:r>
          </w:p>
        </w:tc>
        <w:tc>
          <w:tcPr>
            <w:tcW w:type="dxa" w:w="1871"/>
            <w:vAlign w:val="center"/>
            <w:shd w:fill="D9E8E6"/>
          </w:tcPr>
          <w:p>
            <w:pPr>
              <w:jc w:val="right"/>
              <w:bidi/>
            </w:pPr>
            <w:r>
              <w:rPr>
                <w:rFonts w:ascii="Noto Sans Arabic" w:hAnsi="Noto Sans Arabic" w:cs="Noto Sans Arabic"/>
                <w:b/>
                <w:sz w:val="16"/>
              </w:rPr>
              <w:t>الحالة</w:t>
            </w:r>
          </w:p>
        </w:tc>
        <w:tc>
          <w:tcPr>
            <w:tcW w:type="dxa" w:w="1701"/>
            <w:vAlign w:val="center"/>
            <w:shd w:fill="D9E8E6"/>
          </w:tcPr>
          <w:p>
            <w:pPr>
              <w:jc w:val="right"/>
              <w:bidi/>
            </w:pPr>
            <w:r>
              <w:rPr>
                <w:rFonts w:ascii="Noto Sans Arabic" w:hAnsi="Noto Sans Arabic" w:cs="Noto Sans Arabic"/>
                <w:b/>
                <w:sz w:val="16"/>
              </w:rPr>
              <w:t>وقت الاكتشاف</w:t>
            </w:r>
          </w:p>
        </w:tc>
        <w:tc>
          <w:tcPr>
            <w:tcW w:type="dxa" w:w="2948"/>
            <w:vAlign w:val="center"/>
            <w:shd w:fill="D9E8E6"/>
          </w:tcPr>
          <w:p>
            <w:pPr>
              <w:jc w:val="right"/>
              <w:bidi/>
            </w:pPr>
            <w:r>
              <w:rPr>
                <w:rFonts w:ascii="Noto Sans Arabic" w:hAnsi="Noto Sans Arabic" w:cs="Noto Sans Arabic"/>
                <w:b/>
                <w:sz w:val="16"/>
              </w:rPr>
              <w:t>الإجراء الفوري والنتيجة</w:t>
            </w:r>
          </w:p>
        </w:tc>
      </w:tr>
      <w:tr>
        <w:tc>
          <w:tcPr>
            <w:tcW w:type="dxa" w:w="3402"/>
            <w:vAlign w:val="center"/>
          </w:tcPr>
          <w:p>
            <w:pPr>
              <w:jc w:val="right"/>
              <w:bidi/>
            </w:pPr>
            <w:r>
              <w:rPr>
                <w:rFonts w:ascii="Noto Sans Arabic" w:hAnsi="Noto Sans Arabic" w:cs="Noto Sans Arabic"/>
                <w:sz w:val="16"/>
              </w:rPr>
              <w:t>أفكار أو نية أو خطة لإيذاء النفس أو الآخرين</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t>تقييم خطر مستقل؛ لا تُفسر تلقائياً كأثر دوائي</w:t>
            </w:r>
          </w:p>
        </w:tc>
      </w:tr>
      <w:tr>
        <w:tc>
          <w:tcPr>
            <w:tcW w:type="dxa" w:w="3402"/>
            <w:vAlign w:val="center"/>
          </w:tcPr>
          <w:p>
            <w:pPr>
              <w:jc w:val="right"/>
              <w:bidi/>
            </w:pPr>
            <w:r>
              <w:rPr>
                <w:rFonts w:ascii="Noto Sans Arabic" w:hAnsi="Noto Sans Arabic" w:cs="Noto Sans Arabic"/>
                <w:sz w:val="16"/>
              </w:rPr>
              <w:t>جرعة زائدة أو تسمم أو انسحاب محتمل</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تشنج/نوبة، فقدان وعي، أو عرض عصبي جديد</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إغماء، ألم صدر، ضيق نفس شديد، أو خفقان مع انهيار</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تورم الوجه أو اللسان، صعوبة تنفس، أو طفح شديد/متفاقم</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حمى مع تيبس شديد/ارتباك أو اشتباه متلازمة السيروتونين/المتلازمة الخبيثة</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تشنج عضلي حاد يؤثر في التنفس/البلع أو ألم شديد</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هياج شديد، فقد السيطرة، أو ارتباك/اضطراب وعي حاد</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جفاف شديد أو إمساك مع ألم/انتفاخ/قيء/توقف الغازات</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تعذر تقييم السلامة أو عرض شديد غير متوقع</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التقييم السريري المختصر واحتمالات العلاقة بالدواء</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خطة التعامل</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الإجراء</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jc w:val="right"/>
              <w:bidi/>
            </w:pPr>
            <w:r>
              <w:rPr>
                <w:rFonts w:ascii="Noto Sans Arabic" w:hAnsi="Noto Sans Arabic" w:cs="Noto Sans Arabic"/>
                <w:sz w:val="16"/>
              </w:rPr>
              <w:t>☐ مراقبة وتثقيف ☐ مراجعة الواصف ☐ تقييم خطر مستقل ☐ فحوصات ☐ إحالة اليوم نفسه ☐ طوارئ فورية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jc w:val="right"/>
              <w:bidi/>
            </w:pPr>
            <w:r>
              <w:rPr>
                <w:rFonts w:ascii="Noto Sans Arabic" w:hAnsi="Noto Sans Arabic" w:cs="Noto Sans Arabic"/>
                <w:sz w:val="16"/>
              </w:rPr>
              <w:t>تفاصيل الإجراء ووقته والجهة المستلمة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106"/>
                <w:alias w:val="DKMH_02_F106"/>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هل تم إبلاغ المراجع بعلامات الخطر؟</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نعم  ☐ لا  ☐ غير منطبق</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المعهد الوطني للصحة وجودة الرعاية NICE — Medicines adherence: CG76</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المعهد الوطني للصحة وجودة الرعاية NICE — Medicines optimisation: NG5</w:t>
        </w:r>
      </w:hyperlink>
      <w:r>
        <w:rPr>
          <w:rFonts w:ascii="Noto Sans Arabic" w:hAnsi="Noto Sans Arabic" w:cs="Noto Sans Arabic" w:eastAsia="Noto Naskh Arabic"/>
          <w:sz w:val="17"/>
          <w:rtl w:val="1"/>
        </w:rPr>
        <w:t xml:space="preserve">؛ </w:t>
      </w:r>
      <w:hyperlink r:id="rId13">
        <w:r>
          <w:rPr>
            <w:color w:val="365E54"/>
            <w:u w:val="single"/>
            <w:rFonts w:ascii="Noto Naskh Arabic" w:hAnsi="Noto Naskh Arabic" w:cs="Noto Naskh Arabic"/>
            <w:rtl w:val="1"/>
          </w:rPr>
          <w:t>APA/ATA — Best Practices in Videoconferencing-Based Telemental Health</w:t>
        </w:r>
      </w:hyperlink>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4"/>
      <w:footerReference w:type="first" r:id="rId15"/>
      <w:headerReference w:type="even" r:id="rId16"/>
      <w:footerReference w:type="even" r:id="rId17"/>
      <w:pgSz w:w="11906" w:h="16838"/>
      <w:pgMar w:top="454" w:right="680" w:bottom="510" w:left="680"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nice.org.uk/guidance/cg76" TargetMode="External"/><Relationship Id="rId12" Type="http://schemas.openxmlformats.org/officeDocument/2006/relationships/hyperlink" Target="https://www.nice.org.uk/guidance/ng5" TargetMode="External"/><Relationship Id="rId13" Type="http://schemas.openxmlformats.org/officeDocument/2006/relationships/hyperlink" Target="https://www.psychiatry.org/getmedia/05b9b9cb-dbb5-4df8-8948-e2b9bd659b55/APA-ATA-Best-Practices-in-Videoconferencing-Based-Telemental-Health.pdf"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قائمة مراجعة الآثار الجانبية للأدوية النفسية</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