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jc w:val="right"/>
        <w:bidi w:val="1"/>
      </w:pPr>
      <w:r>
        <w:rPr>
          <w:rFonts w:ascii="Noto Sans Arabic" w:hAnsi="Noto Sans Arabic" w:cs="Noto Sans Arabic" w:eastAsia="Noto Sans Arabic"/>
          <w:b/>
          <w:sz w:val="44"/>
          <w:rtl w:val="1"/>
        </w:rPr>
        <w:t>نموذج تقييم الالتزام الدوائي</w:t>
      </w:r>
    </w:p>
    <w:p>
      <w:pPr>
        <w:spacing w:after="40"/>
        <w:jc w:val="right"/>
        <w:bidi w:val="1"/>
      </w:pPr>
      <w:r>
        <w:rPr>
          <w:rFonts w:ascii="Noto Sans Arabic" w:hAnsi="Noto Sans Arabic" w:cs="Noto Sans Arabic" w:eastAsia="Noto Naskh Arabic"/>
          <w:color w:val="365E54"/>
          <w:sz w:val="22"/>
          <w:rtl w:val="1"/>
        </w:rPr>
        <w:t>تقييم غير حُكمي للعوائق المقصودة وغير المقصودة وبناء خطة قابلة للتنفيذ</w:t>
      </w:r>
    </w:p>
    <w:p>
      <w:pPr>
        <w:spacing w:after="40"/>
        <w:jc w:val="right"/>
        <w:bidi w:val="1"/>
      </w:pPr>
      <w:r>
        <w:rPr>
          <w:rFonts w:ascii="Noto Sans Arabic" w:hAnsi="Noto Sans Arabic" w:cs="Noto Sans Arabic" w:eastAsia="Noto Naskh Arabic"/>
          <w:color w:val="666666"/>
          <w:sz w:val="17"/>
        </w:rPr>
        <w:t>رمز النموذج: DKMH-LIB-MED-03    |    الإصدار: 1.2.0    |    تاريخ الإصدار الداخلي: 2 أغسطس 2026 | حالة المراجعة: مراجعة داخلية مهنية</w:t>
      </w: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bottom w:val="single" w:sz="2" w:color="365E54"/>
            </w:tcBorders>
            <w:tcMar>
              <w:top w:w="80" w:type="dxa"/>
              <w:start w:w="90" w:type="dxa"/>
              <w:bottom w:w="80" w:type="dxa"/>
              <w:end w:w="90" w:type="dxa"/>
            </w:tcMar>
            <w:vAlign w:val="center"/>
          </w:tcPr>
          <w:p>
            <w:pPr>
              <w:bidi w:val="1"/>
              <w:spacing w:after="0" w:before="0" w:line="240" w:lineRule="auto"/>
              <w:jc w:val="right"/>
            </w:pPr>
          </w:p>
        </w:tc>
      </w:tr>
    </w:tbl>
    <w:p>
      <w:pPr>
        <w:bidi w:val="1"/>
        <w:spacing w:after="40"/>
        <w:jc w:val="right"/>
      </w:pP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top w:val="single" w:sz="8" w:color="365E54"/>
              <w:left w:val="single" w:sz="4" w:color="C6D5CF"/>
              <w:bottom w:val="single" w:sz="4" w:color="C6D5CF"/>
              <w:right w:val="single" w:sz="4" w:color="C6D5CF"/>
            </w:tcBorders>
            <w:tcMar>
              <w:top w:w="80" w:type="dxa"/>
              <w:start w:w="90" w:type="dxa"/>
              <w:bottom w:w="80" w:type="dxa"/>
              <w:end w:w="90" w:type="dxa"/>
            </w:tcMar>
            <w:vAlign w:val="center"/>
          </w:tcPr>
          <w:p>
            <w:pPr>
              <w:spacing w:after="0" w:before="0" w:line="240" w:lineRule="auto"/>
              <w:jc w:val="right"/>
              <w:bidi w:val="1"/>
            </w:pPr>
            <w:r>
              <w:rPr>
                <w:rFonts w:ascii="Noto Sans Arabic" w:hAnsi="Noto Sans Arabic" w:cs="Noto Sans Arabic" w:eastAsia="Noto Naskh Arabic"/>
                <w:b/>
                <w:color w:val="24322E"/>
                <w:sz w:val="16"/>
                <w:rtl w:val="1"/>
              </w:rPr>
              <w:t>حدود الاستخدام المهنية</w:t>
              <w:br/>
            </w:r>
            <w:r>
              <w:rPr>
                <w:rFonts w:ascii="Noto Sans Arabic" w:hAnsi="Noto Sans Arabic" w:cs="Noto Sans Arabic" w:eastAsia="Noto Naskh Arabic"/>
                <w:b/>
                <w:sz w:val="16"/>
                <w:rtl w:val="1"/>
              </w:rPr>
              <w:t>لا يُستخدم النموذج لمحاسبة المراجع أو افتراض عدم صدقه. الهدف فهم ما يحدث فعلياً، واستكشاف المعتقدات والعوائق، واتخاذ قرار مشترك داخل حدود الاختصاص.</w:t>
            </w:r>
          </w:p>
        </w:tc>
      </w:tr>
    </w:tbl>
    <w:tbl>
      <w:tblPr>
        <w:tblW w:type="auto" w:w="0"/>
        <w:jc w:val="center"/>
        <w:tblLook w:firstColumn="1" w:firstRow="1" w:lastColumn="0" w:lastRow="0" w:noHBand="0" w:noVBand="1" w:val="04A0"/>
      </w:tblPr>
      <w:tblGrid>
        <w:gridCol w:w="5273"/>
        <w:gridCol w:w="5273"/>
      </w:tblGrid>
      <w:tr>
        <w:trPr>
          <w:tblHeader w:val="true"/>
        </w:trPr>
        <w:tc>
          <w:tcPr>
            <w:tcW w:type="dxa" w:w="9184"/>
            <w:vAlign w:val="center"/>
            <w:gridSpan w:val="2"/>
            <w:shd w:fill="D9E8E6"/>
          </w:tcPr>
          <w:p>
            <w:pPr>
              <w:jc w:val="right"/>
              <w:bidi/>
            </w:pPr>
            <w:r>
              <w:rPr>
                <w:rFonts w:ascii="Noto Sans Arabic" w:hAnsi="Noto Sans Arabic" w:cs="Noto Sans Arabic"/>
                <w:b/>
                <w:sz w:val="16"/>
              </w:rPr>
              <w:t>ضبط المستند والحوكمة</w:t>
            </w:r>
          </w:p>
        </w:tc>
      </w:tr>
      <w:tr>
        <w:tc>
          <w:tcPr>
            <w:tcW w:type="dxa" w:w="2381"/>
            <w:vAlign w:val="center"/>
          </w:tcPr>
          <w:p>
            <w:pPr>
              <w:jc w:val="right"/>
              <w:bidi/>
            </w:pPr>
            <w:r>
              <w:rPr>
                <w:rFonts w:ascii="Noto Sans Arabic" w:hAnsi="Noto Sans Arabic" w:cs="Noto Sans Arabic"/>
                <w:sz w:val="16"/>
              </w:rPr>
              <w:t>الجهة المالكة</w:t>
            </w:r>
          </w:p>
        </w:tc>
        <w:tc>
          <w:tcPr>
            <w:tcW w:type="dxa" w:w="6803"/>
            <w:vAlign w:val="center"/>
          </w:tcPr>
          <w:p>
            <w:pPr>
              <w:jc w:val="right"/>
              <w:bidi/>
            </w:pPr>
            <w:r>
              <w:rPr>
                <w:rFonts w:ascii="Noto Sans Arabic" w:hAnsi="Noto Sans Arabic" w:cs="Noto Sans Arabic"/>
                <w:sz w:val="16"/>
              </w:rPr>
              <w:t>عيادة الدكتور خالد النفسية</w:t>
            </w:r>
          </w:p>
        </w:tc>
      </w:tr>
      <w:tr>
        <w:tc>
          <w:tcPr>
            <w:tcW w:type="dxa" w:w="2381"/>
            <w:vAlign w:val="center"/>
          </w:tcPr>
          <w:p>
            <w:pPr>
              <w:jc w:val="right"/>
              <w:bidi/>
            </w:pPr>
            <w:r>
              <w:rPr>
                <w:rFonts w:ascii="Noto Sans Arabic" w:hAnsi="Noto Sans Arabic" w:cs="Noto Sans Arabic"/>
                <w:sz w:val="16"/>
              </w:rPr>
              <w:t>المسؤول عن المحتوى السريري</w:t>
            </w:r>
          </w:p>
        </w:tc>
        <w:tc>
          <w:tcPr>
            <w:tcW w:type="dxa" w:w="6803"/>
            <w:vAlign w:val="center"/>
          </w:tcPr>
          <w:p>
            <w:pPr>
              <w:jc w:val="right"/>
              <w:bidi/>
            </w:pPr>
            <w:r>
              <w:rPr>
                <w:rFonts w:ascii="Noto Sans Arabic" w:hAnsi="Noto Sans Arabic" w:cs="Noto Sans Arabic"/>
                <w:sz w:val="16"/>
              </w:rPr>
              <w:t>د. خالد حسن أحمد حسن — طبيب ومؤسس عيادة الدكتور خالد النفسية | الطب النفسي عن بُعد وخدمات الصحة النفسية المجتمعية</w:t>
            </w:r>
          </w:p>
        </w:tc>
      </w:tr>
      <w:tr>
        <w:tc>
          <w:tcPr>
            <w:tcW w:type="dxa" w:w="2381"/>
            <w:vAlign w:val="center"/>
          </w:tcPr>
          <w:p>
            <w:pPr>
              <w:jc w:val="right"/>
              <w:bidi/>
            </w:pPr>
            <w:r>
              <w:rPr>
                <w:rFonts w:ascii="Noto Sans Arabic" w:hAnsi="Noto Sans Arabic" w:cs="Noto Sans Arabic"/>
                <w:sz w:val="16"/>
              </w:rPr>
              <w:t>حالة الإصدار</w:t>
            </w:r>
          </w:p>
        </w:tc>
        <w:tc>
          <w:tcPr>
            <w:tcW w:type="dxa" w:w="6803"/>
            <w:vAlign w:val="center"/>
          </w:tcPr>
          <w:p>
            <w:pPr>
              <w:jc w:val="right"/>
              <w:bidi/>
            </w:pPr>
            <w:r>
              <w:rPr>
                <w:rFonts w:ascii="Noto Sans Arabic" w:hAnsi="Noto Sans Arabic" w:cs="Noto Sans Arabic"/>
                <w:sz w:val="16"/>
              </w:rPr>
              <w:t>مراجعة داخلية مهنية. لا يمثل هذا الوصف اعتماداً تنظيمياً أو أكاديمياً خارجياً.</w:t>
            </w:r>
          </w:p>
        </w:tc>
      </w:tr>
      <w:tr>
        <w:tc>
          <w:tcPr>
            <w:tcW w:type="dxa" w:w="2381"/>
            <w:vAlign w:val="center"/>
          </w:tcPr>
          <w:p>
            <w:pPr>
              <w:jc w:val="right"/>
              <w:bidi/>
            </w:pPr>
            <w:r>
              <w:rPr>
                <w:rFonts w:ascii="Noto Sans Arabic" w:hAnsi="Noto Sans Arabic" w:cs="Noto Sans Arabic"/>
                <w:sz w:val="16"/>
              </w:rPr>
              <w:t>نطاق الاستخدام</w:t>
            </w:r>
          </w:p>
        </w:tc>
        <w:tc>
          <w:tcPr>
            <w:tcW w:type="dxa" w:w="6803"/>
            <w:vAlign w:val="center"/>
          </w:tcPr>
          <w:p>
            <w:pPr>
              <w:jc w:val="right"/>
              <w:bidi/>
            </w:pPr>
            <w:r>
              <w:rPr>
                <w:rFonts w:ascii="Noto Sans Arabic" w:hAnsi="Noto Sans Arabic" w:cs="Noto Sans Arabic"/>
                <w:sz w:val="16"/>
              </w:rPr>
              <w:t>أداة توثيق ودعم قرار للممارسين المؤهلين، مع ضرورة التكييف حسب القوانين ونطاق الممارسة والبروتوكولات المحلية.</w:t>
            </w:r>
          </w:p>
        </w:tc>
      </w:tr>
      <w:tr>
        <w:tc>
          <w:tcPr>
            <w:tcW w:type="dxa" w:w="2381"/>
            <w:vAlign w:val="center"/>
          </w:tcPr>
          <w:p>
            <w:pPr>
              <w:jc w:val="right"/>
              <w:bidi/>
            </w:pPr>
            <w:r>
              <w:rPr>
                <w:rFonts w:ascii="Noto Sans Arabic" w:hAnsi="Noto Sans Arabic" w:cs="Noto Sans Arabic"/>
                <w:sz w:val="16"/>
              </w:rPr>
              <w:t>دورة المراجعة</w:t>
            </w:r>
          </w:p>
        </w:tc>
        <w:tc>
          <w:tcPr>
            <w:tcW w:type="dxa" w:w="6803"/>
            <w:vAlign w:val="center"/>
          </w:tcPr>
          <w:p>
            <w:pPr>
              <w:jc w:val="right"/>
              <w:bidi/>
            </w:pPr>
            <w:r>
              <w:rPr>
                <w:rFonts w:ascii="Noto Sans Arabic" w:hAnsi="Noto Sans Arabic" w:cs="Noto Sans Arabic"/>
                <w:sz w:val="16"/>
              </w:rPr>
              <w:t>كل 6 أشهر أو عند تغير جوهري في الدليل أو التنظيم أو السلامة.</w:t>
            </w:r>
          </w:p>
        </w:tc>
      </w:tr>
      <w:tr>
        <w:tc>
          <w:tcPr>
            <w:tcW w:type="dxa" w:w="2381"/>
            <w:vAlign w:val="center"/>
          </w:tcPr>
          <w:p>
            <w:pPr>
              <w:jc w:val="right"/>
              <w:bidi/>
            </w:pPr>
            <w:r>
              <w:rPr>
                <w:rFonts w:ascii="Noto Sans Arabic" w:hAnsi="Noto Sans Arabic" w:cs="Noto Sans Arabic"/>
                <w:sz w:val="16"/>
              </w:rPr>
              <w:t>الإبلاغ عن خطأ أو طلب سحب نسخة</w:t>
            </w:r>
          </w:p>
        </w:tc>
        <w:tc>
          <w:tcPr>
            <w:tcW w:type="dxa" w:w="6803"/>
            <w:vAlign w:val="center"/>
          </w:tcPr>
          <w:p>
            <w:pPr>
              <w:jc w:val="right"/>
              <w:bidi/>
            </w:pPr>
            <w:r>
              <w:rPr>
                <w:rFonts w:ascii="Noto Sans Arabic" w:hAnsi="Noto Sans Arabic" w:cs="Noto Sans Arabic"/>
                <w:sz w:val="16"/>
              </w:rPr>
              <w:t>عبر صفحة الحوكمة والشكاوى بالموقع الرسمي، مع ذكر رمز النموذج ورقم الإصدار.</w:t>
            </w:r>
          </w:p>
        </w:tc>
      </w:tr>
    </w:tbl>
    <w:p>
      <w:pPr>
        <w:bidi w:val="1"/>
        <w:spacing w:after="4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بيانات أساسية</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الاسم/رمز الملف</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3_F002"/>
                <w:alias w:val="DKMH_03_F002"/>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الدواء/الخطة موضع التقييم</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3_F003"/>
                <w:alias w:val="DKMH_03_F003"/>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تاريخ التقييم</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3_F004"/>
                <w:alias w:val="DKMH_03_F004"/>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المقيّم وصفته</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3_F005"/>
                <w:alias w:val="DKMH_03_F005"/>
                <w:text/>
              </w:sdtPr>
              <w:sdtContent>
                <w:r>
                  <w:rPr>
                    <w:rFonts w:ascii="Noto Naskh Arabic" w:hAnsi="Noto Naskh Arabic" w:cs="Noto Naskh Arabic" w:eastAsia="Noto Naskh Arabic"/>
                    <w:color w:val="666666"/>
                    <w:sz w:val="18"/>
                    <w:rtl w:val="1"/>
                  </w:rPr>
                  <w:t>[اكتب هنا]</w:t>
                </w:r>
              </w:sdtContent>
            </w:sdt>
          </w:p>
        </w:tc>
      </w:tr>
    </w:tbl>
    <w:p>
      <w:pPr>
        <w:bidi w:val="1"/>
        <w:spacing w:after="40"/>
        <w:jc w:val="right"/>
      </w:pPr>
    </w:p>
    <w:p>
      <w:pPr>
        <w:pStyle w:val="Heading2"/>
        <w:spacing w:after="40"/>
        <w:jc w:val="right"/>
        <w:bidi w:val="1"/>
      </w:pPr>
      <w:r>
        <w:rPr>
          <w:rFonts w:ascii="Noto Sans Arabic" w:hAnsi="Noto Sans Arabic" w:cs="Noto Sans Arabic" w:eastAsia="Noto Sans Arabic"/>
          <w:sz w:val="26"/>
          <w:rtl w:val="1"/>
        </w:rPr>
        <w:t>أ. ما حدث فعلياً</w:t>
      </w:r>
    </w:p>
    <w:tbl>
      <w:tblPr>
        <w:tblW w:type="auto" w:w="0"/>
        <w:jc w:val="center"/>
        <w:tblLayout w:type="autofit"/>
        <w:tblLook w:firstColumn="1" w:firstRow="1" w:lastColumn="0" w:lastRow="0" w:noHBand="0" w:noVBand="1" w:val="04A0"/>
      </w:tblPr>
      <w:tblGrid>
        <w:gridCol w:w="3456"/>
        <w:gridCol w:w="3456"/>
        <w:gridCol w:w="3456"/>
      </w:tblGrid>
      <w:tr>
        <w:trPr>
          <w:tblHeader w:val="true"/>
        </w:trPr>
        <w:tc>
          <w:tcPr>
            <w:tcW w:type="dxa" w:w="5040"/>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السؤال</w:t>
            </w:r>
          </w:p>
        </w:tc>
        <w:tc>
          <w:tcPr>
            <w:tcW w:type="dxa" w:w="2232"/>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الإجابة/التقدير</w:t>
            </w:r>
          </w:p>
        </w:tc>
        <w:tc>
          <w:tcPr>
            <w:tcW w:type="dxa" w:w="3456"/>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ملاحظات</w:t>
            </w:r>
          </w:p>
        </w:tc>
      </w:tr>
      <w:tr>
        <w:trPr>
          <w:trHeight w:hRule="atLeast" w:val="518"/>
        </w:trPr>
        <w:tc>
          <w:tcPr>
            <w:tcW w:type="dxa" w:w="504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كم جرعة فاتت خلال آخر 7 أيام؟</w:t>
            </w:r>
          </w:p>
        </w:tc>
        <w:tc>
          <w:tcPr>
            <w:tcW w:type="dxa" w:w="2232"/>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[عدد/غير معروف]</w:t>
            </w:r>
          </w:p>
        </w:tc>
        <w:tc>
          <w:tcPr>
            <w:tcW w:type="dxa" w:w="345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06"/>
                <w:alias w:val="DKMH_03_F006"/>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04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كم جرعة فاتت خلال آخر 30 يوماً؟</w:t>
            </w:r>
          </w:p>
        </w:tc>
        <w:tc>
          <w:tcPr>
            <w:tcW w:type="dxa" w:w="2232"/>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[عدد/غير معروف]</w:t>
            </w:r>
          </w:p>
        </w:tc>
        <w:tc>
          <w:tcPr>
            <w:tcW w:type="dxa" w:w="3456"/>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07"/>
                <w:alias w:val="DKMH_03_F007"/>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04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هل حدث إيقاف كامل أو متقطع؟</w:t>
            </w:r>
          </w:p>
        </w:tc>
        <w:tc>
          <w:tcPr>
            <w:tcW w:type="dxa" w:w="2232"/>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 لا ☐ نعم</w:t>
            </w:r>
          </w:p>
        </w:tc>
        <w:tc>
          <w:tcPr>
            <w:tcW w:type="dxa" w:w="345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08"/>
                <w:alias w:val="DKMH_03_F008"/>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04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هل تغيّرت الجرعة أو التوقيت دون مراجعة؟</w:t>
            </w:r>
          </w:p>
        </w:tc>
        <w:tc>
          <w:tcPr>
            <w:tcW w:type="dxa" w:w="2232"/>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 لا ☐ نعم</w:t>
            </w:r>
          </w:p>
        </w:tc>
        <w:tc>
          <w:tcPr>
            <w:tcW w:type="dxa" w:w="3456"/>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09"/>
                <w:alias w:val="DKMH_03_F009"/>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04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هل نُفدت الأدوية أو تعذر الحصول عليها؟</w:t>
            </w:r>
          </w:p>
        </w:tc>
        <w:tc>
          <w:tcPr>
            <w:tcW w:type="dxa" w:w="2232"/>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 لا ☐ نعم</w:t>
            </w:r>
          </w:p>
        </w:tc>
        <w:tc>
          <w:tcPr>
            <w:tcW w:type="dxa" w:w="345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10"/>
                <w:alias w:val="DKMH_03_F010"/>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04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هل تؤخذ الجرعات عند اللزوم كما وُصفت؟</w:t>
            </w:r>
          </w:p>
        </w:tc>
        <w:tc>
          <w:tcPr>
            <w:tcW w:type="dxa" w:w="2232"/>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 نعم ☐ لا ☐ غير منطبق</w:t>
            </w:r>
          </w:p>
        </w:tc>
        <w:tc>
          <w:tcPr>
            <w:tcW w:type="dxa" w:w="3456"/>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11"/>
                <w:alias w:val="DKMH_03_F011"/>
                <w:text/>
              </w:sdtPr>
              <w:sdtContent>
                <w:r>
                  <w:rPr>
                    <w:rFonts w:ascii="Noto Naskh Arabic" w:hAnsi="Noto Naskh Arabic" w:cs="Noto Naskh Arabic" w:eastAsia="Noto Naskh Arabic"/>
                    <w:color w:val="333333"/>
                    <w:sz w:val="17"/>
                    <w:rtl w:val="1"/>
                  </w:rPr>
                  <w:t>[اكتب هنا]</w:t>
                </w:r>
              </w:sdtContent>
            </w:sdt>
          </w:p>
        </w:tc>
      </w:tr>
    </w:tbl>
    <w:p>
      <w:pPr>
        <w:bidi w:val="1"/>
        <w:spacing w:after="40"/>
        <w:jc w:val="right"/>
      </w:pPr>
    </w:p>
    <w:p>
      <w:pPr>
        <w:pStyle w:val="Heading2"/>
        <w:spacing w:after="40"/>
        <w:jc w:val="right"/>
        <w:bidi w:val="1"/>
      </w:pPr>
      <w:r>
        <w:rPr>
          <w:rFonts w:ascii="Noto Sans Arabic" w:hAnsi="Noto Sans Arabic" w:cs="Noto Sans Arabic" w:eastAsia="Noto Sans Arabic"/>
          <w:sz w:val="26"/>
          <w:rtl w:val="1"/>
        </w:rPr>
        <w:t>ب. الفهم والمعتقدات</w:t>
      </w:r>
    </w:p>
    <w:tbl>
      <w:tblPr>
        <w:tblW w:type="auto" w:w="0"/>
        <w:jc w:val="center"/>
        <w:tblLayout w:type="autofit"/>
        <w:tblLook w:firstColumn="1" w:firstRow="1" w:lastColumn="0" w:lastRow="0" w:noHBand="0" w:noVBand="1" w:val="04A0"/>
      </w:tblPr>
      <w:tblGrid>
        <w:gridCol w:w="2074"/>
        <w:gridCol w:w="2074"/>
        <w:gridCol w:w="2074"/>
        <w:gridCol w:w="2074"/>
        <w:gridCol w:w="2074"/>
      </w:tblGrid>
      <w:tr>
        <w:trPr>
          <w:tblHeader w:val="true"/>
        </w:trPr>
        <w:tc>
          <w:tcPr>
            <w:tcW w:type="dxa" w:w="4608"/>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البند</w:t>
            </w:r>
          </w:p>
        </w:tc>
        <w:tc>
          <w:tcPr>
            <w:tcW w:type="dxa" w:w="864"/>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نعم</w:t>
            </w:r>
          </w:p>
        </w:tc>
        <w:tc>
          <w:tcPr>
            <w:tcW w:type="dxa" w:w="1080"/>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جزئياً</w:t>
            </w:r>
          </w:p>
        </w:tc>
        <w:tc>
          <w:tcPr>
            <w:tcW w:type="dxa" w:w="1440"/>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لا/غير واضح</w:t>
            </w:r>
          </w:p>
        </w:tc>
        <w:tc>
          <w:tcPr>
            <w:tcW w:type="dxa" w:w="2880"/>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التفاصيل</w:t>
            </w:r>
          </w:p>
        </w:tc>
      </w:tr>
      <w:tr>
        <w:trPr>
          <w:trHeight w:hRule="atLeast" w:val="518"/>
        </w:trPr>
        <w:tc>
          <w:tcPr>
            <w:tcW w:type="dxa" w:w="460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يفهم اسم الدواء والغرض منه</w:t>
            </w:r>
          </w:p>
        </w:tc>
        <w:tc>
          <w:tcPr>
            <w:tcW w:type="dxa" w:w="86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108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144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288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12"/>
                <w:alias w:val="DKMH_03_F012"/>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4608"/>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يفهم الجرعة والتوقيت وما يفعل عند نسيانها</w:t>
            </w:r>
          </w:p>
        </w:tc>
        <w:tc>
          <w:tcPr>
            <w:tcW w:type="dxa" w:w="864"/>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108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144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288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13"/>
                <w:alias w:val="DKMH_03_F013"/>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460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يعتقد أن الفائدة تستحق الاستمرار</w:t>
            </w:r>
          </w:p>
        </w:tc>
        <w:tc>
          <w:tcPr>
            <w:tcW w:type="dxa" w:w="86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108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144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288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14"/>
                <w:alias w:val="DKMH_03_F014"/>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4608"/>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لديه مخاوف من الضرر أو الاعتماد أو طول العلاج</w:t>
            </w:r>
          </w:p>
        </w:tc>
        <w:tc>
          <w:tcPr>
            <w:tcW w:type="dxa" w:w="864"/>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108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144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288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15"/>
                <w:alias w:val="DKMH_03_F015"/>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460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يشعر بوصمة أو ضغط أسري تجاه الدواء</w:t>
            </w:r>
          </w:p>
        </w:tc>
        <w:tc>
          <w:tcPr>
            <w:tcW w:type="dxa" w:w="86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108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144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288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16"/>
                <w:alias w:val="DKMH_03_F016"/>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4608"/>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يفكر في الإيقاف لأنه تحسن</w:t>
            </w:r>
          </w:p>
        </w:tc>
        <w:tc>
          <w:tcPr>
            <w:tcW w:type="dxa" w:w="864"/>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108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144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288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17"/>
                <w:alias w:val="DKMH_03_F017"/>
                <w:text/>
              </w:sdtPr>
              <w:sdtContent>
                <w:r>
                  <w:rPr>
                    <w:rFonts w:ascii="Noto Naskh Arabic" w:hAnsi="Noto Naskh Arabic" w:cs="Noto Naskh Arabic" w:eastAsia="Noto Naskh Arabic"/>
                    <w:color w:val="333333"/>
                    <w:sz w:val="17"/>
                    <w:rtl w:val="1"/>
                  </w:rPr>
                  <w:t>[اكتب هنا]</w:t>
                </w:r>
              </w:sdtContent>
            </w:sdt>
          </w:p>
        </w:tc>
      </w:tr>
    </w:tbl>
    <w:p>
      <w:pPr>
        <w:bidi w:val="1"/>
        <w:spacing w:after="40"/>
        <w:jc w:val="right"/>
      </w:pPr>
    </w:p>
    <w:p>
      <w:pPr>
        <w:pStyle w:val="Heading2"/>
        <w:spacing w:after="40"/>
        <w:jc w:val="right"/>
        <w:bidi w:val="1"/>
      </w:pPr>
      <w:r>
        <w:rPr>
          <w:rFonts w:ascii="Noto Sans Arabic" w:hAnsi="Noto Sans Arabic" w:cs="Noto Sans Arabic" w:eastAsia="Noto Sans Arabic"/>
          <w:sz w:val="26"/>
          <w:rtl w:val="1"/>
        </w:rPr>
        <w:t>ج. العوائق العملية</w:t>
      </w:r>
    </w:p>
    <w:p>
      <w:pPr>
        <w:spacing w:after="40"/>
        <w:ind w:left="72" w:hanging="72"/>
        <w:jc w:val="right"/>
        <w:bidi w:val="1"/>
      </w:pPr>
      <w:r>
        <w:rPr>
          <w:rFonts w:ascii="Noto Sans Arabic" w:hAnsi="Noto Sans Arabic" w:cs="Noto Sans Arabic" w:eastAsia="Noto Naskh Arabic"/>
          <w:sz w:val="21"/>
          <w:rtl w:val="1"/>
        </w:rPr>
        <w:t>•  ☐ نسيان أو روتين غير ثابت  ☐ نوم متقلب/عمل ورديات  ☐ تعدد الجرعات أو كثرة الأدوية</w:t>
      </w:r>
    </w:p>
    <w:p>
      <w:pPr>
        <w:spacing w:after="40"/>
        <w:ind w:left="72" w:hanging="72"/>
        <w:jc w:val="right"/>
        <w:bidi w:val="1"/>
      </w:pPr>
      <w:r>
        <w:rPr>
          <w:rFonts w:ascii="Noto Sans Arabic" w:hAnsi="Noto Sans Arabic" w:cs="Noto Sans Arabic" w:eastAsia="Noto Naskh Arabic"/>
          <w:sz w:val="21"/>
          <w:rtl w:val="1"/>
        </w:rPr>
        <w:t>•  ☐ تكلفة  ☐ عدم توفر الدواء  ☐ صعوبة الوصول للصيدلية  ☐ صعوبة بلع/فتح العبوة</w:t>
      </w:r>
    </w:p>
    <w:p>
      <w:pPr>
        <w:spacing w:after="40"/>
        <w:ind w:left="72" w:hanging="72"/>
        <w:jc w:val="right"/>
        <w:bidi w:val="1"/>
      </w:pPr>
      <w:r>
        <w:rPr>
          <w:rFonts w:ascii="Noto Sans Arabic" w:hAnsi="Noto Sans Arabic" w:cs="Noto Sans Arabic" w:eastAsia="Noto Naskh Arabic"/>
          <w:sz w:val="21"/>
          <w:rtl w:val="1"/>
        </w:rPr>
        <w:t>•  ☐ آثار جانبية  ☐ ضعف الخصوصية  ☐ رفض الأسرة  ☐ تعاطي مواد  ☐ ضعف الذاكرة/التنظيم</w:t>
      </w:r>
    </w:p>
    <w:p>
      <w:pPr>
        <w:spacing w:after="40"/>
        <w:ind w:left="72" w:hanging="72"/>
        <w:jc w:val="right"/>
        <w:bidi w:val="1"/>
      </w:pPr>
      <w:r>
        <w:rPr>
          <w:rFonts w:ascii="Noto Sans Arabic" w:hAnsi="Noto Sans Arabic" w:cs="Noto Sans Arabic" w:eastAsia="Noto Naskh Arabic"/>
          <w:sz w:val="21"/>
          <w:rtl w:val="1"/>
        </w:rPr>
        <w:t xml:space="preserve">•  ☐ عدم الثقة في الخطة  ☐ غياب المتابعة  ☐ سبب آخر: </w:t>
      </w:r>
      <w:sdt>
        <w:sdtPr>
          <w:tag w:val="DKMH_03_F001"/>
          <w:alias w:val="DKMH_03_F001"/>
          <w:text/>
        </w:sdtPr>
        <w:sdtContent>
          <w:r>
            <w:rPr>
              <w:rFonts w:ascii="Noto Naskh Arabic" w:hAnsi="Noto Naskh Arabic" w:cs="Noto Naskh Arabic" w:eastAsia="Noto Naskh Arabic"/>
              <w:sz w:val="21"/>
              <w:rtl w:val="1"/>
            </w:rPr>
            <w:t>[اكتب هنا]</w:t>
          </w:r>
        </w:sdtContent>
      </w:sdt>
    </w:p>
    <w:p>
      <w:pPr>
        <w:pStyle w:val="FormLabel"/>
        <w:spacing w:after="40"/>
        <w:jc w:val="right"/>
        <w:bidi w:val="1"/>
      </w:pPr>
      <w:r>
        <w:rPr>
          <w:rFonts w:ascii="Noto Sans Arabic" w:hAnsi="Noto Sans Arabic" w:cs="Noto Sans Arabic" w:eastAsia="Noto Naskh Arabic"/>
          <w:sz w:val="19"/>
          <w:rtl w:val="1"/>
        </w:rPr>
        <w:t>كيف يصف المراجع بنفسه سبب صعوبة الالتزام؟</w:t>
      </w:r>
    </w:p>
    <w:tbl>
      <w:tblPr>
        <w:tblW w:type="auto" w:w="0"/>
        <w:jc w:val="center"/>
        <w:tblLayout w:type="autofit"/>
        <w:tblLook w:firstColumn="1" w:firstRow="1" w:lastColumn="0" w:lastRow="0" w:noHBand="0" w:noVBand="1" w:val="04A0"/>
      </w:tblPr>
      <w:tblGrid>
        <w:gridCol w:w="10368"/>
      </w:tblGrid>
      <w:tr>
        <w:trPr>
          <w:tblHeader w:val="true"/>
        </w:trPr>
        <w:tc>
          <w:tcPr>
            <w:tcW w:type="dxa" w:w="10368"/>
            <w:bidiVisual w:val="1"/>
            <w:vAlign w:val="center"/>
            <w:shd w:fill="D9E8E6"/>
            <w:tcBorders>
              <w:top w:val="single" w:sz="4" w:color="B9C7C2"/>
              <w:left w:val="single" w:sz="4" w:color="B9C7C2"/>
              <w:bottom w:val="single" w:sz="4" w:color="B9C7C2"/>
              <w:right w:val="single" w:sz="4" w:color="B9C7C2"/>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r>
          </w:p>
        </w:tc>
      </w:tr>
    </w:tbl>
    <w:p>
      <w:pPr>
        <w:bidi w:val="1"/>
        <w:spacing w:after="40"/>
        <w:jc w:val="right"/>
      </w:pPr>
    </w:p>
    <w:p>
      <w:pPr>
        <w:pStyle w:val="Heading2"/>
        <w:spacing w:after="40"/>
        <w:jc w:val="right"/>
        <w:bidi w:val="1"/>
      </w:pPr>
      <w:r>
        <w:rPr>
          <w:rFonts w:ascii="Noto Sans Arabic" w:hAnsi="Noto Sans Arabic" w:cs="Noto Sans Arabic" w:eastAsia="Noto Sans Arabic"/>
          <w:sz w:val="26"/>
          <w:rtl w:val="1"/>
        </w:rPr>
        <w:t>د. تقدير نمط الالتزام</w:t>
      </w:r>
    </w:p>
    <w:tbl>
      <w:tblPr>
        <w:tblW w:type="auto" w:w="0"/>
        <w:jc w:val="center"/>
        <w:tblLayout w:type="autofit"/>
        <w:tblLook w:firstColumn="1" w:firstRow="1" w:lastColumn="0" w:lastRow="0" w:noHBand="0" w:noVBand="1" w:val="04A0"/>
      </w:tblPr>
      <w:tblGrid>
        <w:gridCol w:w="5184"/>
        <w:gridCol w:w="5184"/>
      </w:tblGrid>
      <w:tr>
        <w:trPr>
          <w:trHeight w:hRule="atLeast" w:val="490"/>
          <w:tblHeader w:val="true"/>
        </w:trPr>
        <w:tc>
          <w:tcPr>
            <w:tcW w:type="dxa" w:w="2304"/>
            <w:shd w:fill="D9E8E6"/>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التقدير العام</w:t>
            </w:r>
          </w:p>
        </w:tc>
        <w:tc>
          <w:tcPr>
            <w:tcW w:type="dxa" w:w="8208"/>
            <w:shd w:fill="D9E8E6"/>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666666"/>
                <w:sz w:val="16"/>
                <w:rtl w:val="1"/>
              </w:rPr>
              <w:t>☐ جيد  ☐ متذبذب  ☐ ضعيف  ☐ لا يمكن تحديده</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النوع الغالب</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 غير مقصود  ☐ مقصود  ☐ مختلط</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Pr>
              <w:t>النتيجة السريرية المحتملة لعدم الالتزام</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 xml:space="preserve">☐ لا أثر واضح حالياً  ☐ احتمال تدهور/انتكاس  ☐ احتمال انسحاب أو سمية  ☐ يحتاج مراجعة عاجلة — التفاصيل: </w:t>
            </w:r>
            <w:sdt>
              <w:sdtPr>
                <w:tag w:val="DKMH_03_F018"/>
                <w:alias w:val="DKMH_03_F018"/>
                <w:text/>
              </w:sdtPr>
              <w:sdtContent>
                <w:r>
                  <w:rPr>
                    <w:rFonts w:ascii="Noto Naskh Arabic" w:hAnsi="Noto Naskh Arabic" w:cs="Noto Naskh Arabic" w:eastAsia="Noto Naskh Arabic"/>
                    <w:b w:val="0"/>
                    <w:sz w:val="17"/>
                  </w:rPr>
                  <w:t>[اكتب هنا]</w:t>
                </w:r>
              </w:sdtContent>
            </w:sdt>
          </w:p>
        </w:tc>
      </w:tr>
    </w:tbl>
    <w:p>
      <w:pPr>
        <w:bidi w:val="1"/>
        <w:spacing w:after="40"/>
        <w:jc w:val="right"/>
      </w:pPr>
    </w:p>
    <w:p>
      <w:pPr>
        <w:pStyle w:val="Heading2"/>
        <w:spacing w:after="40"/>
        <w:jc w:val="right"/>
        <w:bidi w:val="1"/>
      </w:pPr>
      <w:r>
        <w:rPr>
          <w:rFonts w:ascii="Noto Sans Arabic" w:hAnsi="Noto Sans Arabic" w:cs="Noto Sans Arabic" w:eastAsia="Noto Sans Arabic"/>
          <w:sz w:val="26"/>
          <w:rtl w:val="1"/>
        </w:rPr>
        <w:t>هـ. خطة مشتركة قابلة للتنفيذ</w:t>
      </w:r>
    </w:p>
    <w:tbl>
      <w:tblPr>
        <w:tblW w:type="auto" w:w="0"/>
        <w:jc w:val="center"/>
        <w:tblLayout w:type="autofit"/>
        <w:tblLook w:firstColumn="1" w:firstRow="1" w:lastColumn="0" w:lastRow="0" w:noHBand="0" w:noVBand="1" w:val="04A0"/>
      </w:tblPr>
      <w:tblGrid>
        <w:gridCol w:w="2074"/>
        <w:gridCol w:w="2074"/>
        <w:gridCol w:w="2074"/>
        <w:gridCol w:w="2074"/>
        <w:gridCol w:w="2074"/>
      </w:tblGrid>
      <w:tr>
        <w:trPr>
          <w:tblHeader w:val="true"/>
        </w:trPr>
        <w:tc>
          <w:tcPr>
            <w:tcW w:type="dxa" w:w="2088"/>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العائق المحدد</w:t>
            </w:r>
          </w:p>
        </w:tc>
        <w:tc>
          <w:tcPr>
            <w:tcW w:type="dxa" w:w="3096"/>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الحل المتفق عليه</w:t>
            </w:r>
          </w:p>
        </w:tc>
        <w:tc>
          <w:tcPr>
            <w:tcW w:type="dxa" w:w="1728"/>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من المسؤول؟</w:t>
            </w:r>
          </w:p>
        </w:tc>
        <w:tc>
          <w:tcPr>
            <w:tcW w:type="dxa" w:w="1655"/>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موعد المراجعة</w:t>
            </w:r>
          </w:p>
        </w:tc>
        <w:tc>
          <w:tcPr>
            <w:tcW w:type="dxa" w:w="2376"/>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كيف سنعرف أن الخطة نجحت؟</w:t>
            </w:r>
          </w:p>
        </w:tc>
      </w:tr>
      <w:tr>
        <w:trPr>
          <w:trHeight w:hRule="atLeast" w:val="518"/>
        </w:trPr>
        <w:tc>
          <w:tcPr>
            <w:tcW w:type="dxa" w:w="208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19"/>
                <w:alias w:val="DKMH_03_F019"/>
                <w:text/>
              </w:sdtPr>
              <w:sdtContent>
                <w:r>
                  <w:rPr>
                    <w:rFonts w:ascii="Noto Naskh Arabic" w:hAnsi="Noto Naskh Arabic" w:cs="Noto Naskh Arabic" w:eastAsia="Noto Naskh Arabic"/>
                    <w:color w:val="333333"/>
                    <w:sz w:val="17"/>
                    <w:rtl w:val="1"/>
                  </w:rPr>
                  <w:t>[اكتب هنا]</w:t>
                </w:r>
              </w:sdtContent>
            </w:sdt>
          </w:p>
        </w:tc>
        <w:tc>
          <w:tcPr>
            <w:tcW w:type="dxa" w:w="309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20"/>
                <w:alias w:val="DKMH_03_F020"/>
                <w:text/>
              </w:sdtPr>
              <w:sdtContent>
                <w:r>
                  <w:rPr>
                    <w:rFonts w:ascii="Noto Naskh Arabic" w:hAnsi="Noto Naskh Arabic" w:cs="Noto Naskh Arabic" w:eastAsia="Noto Naskh Arabic"/>
                    <w:color w:val="333333"/>
                    <w:sz w:val="17"/>
                    <w:rtl w:val="1"/>
                  </w:rPr>
                  <w:t>[اكتب هنا]</w:t>
                </w:r>
              </w:sdtContent>
            </w:sdt>
          </w:p>
        </w:tc>
        <w:tc>
          <w:tcPr>
            <w:tcW w:type="dxa" w:w="172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21"/>
                <w:alias w:val="DKMH_03_F021"/>
                <w:text/>
              </w:sdtPr>
              <w:sdtContent>
                <w:r>
                  <w:rPr>
                    <w:rFonts w:ascii="Noto Naskh Arabic" w:hAnsi="Noto Naskh Arabic" w:cs="Noto Naskh Arabic" w:eastAsia="Noto Naskh Arabic"/>
                    <w:color w:val="333333"/>
                    <w:sz w:val="17"/>
                    <w:rtl w:val="1"/>
                  </w:rPr>
                  <w:t>[اكتب هنا]</w:t>
                </w:r>
              </w:sdtContent>
            </w:sdt>
          </w:p>
        </w:tc>
        <w:tc>
          <w:tcPr>
            <w:tcW w:type="dxa" w:w="1655"/>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22"/>
                <w:alias w:val="DKMH_03_F022"/>
                <w:text/>
              </w:sdtPr>
              <w:sdtContent>
                <w:r>
                  <w:rPr>
                    <w:rFonts w:ascii="Noto Naskh Arabic" w:hAnsi="Noto Naskh Arabic" w:cs="Noto Naskh Arabic" w:eastAsia="Noto Naskh Arabic"/>
                    <w:color w:val="333333"/>
                    <w:sz w:val="17"/>
                    <w:rtl w:val="1"/>
                  </w:rPr>
                  <w:t>[اكتب هنا]</w:t>
                </w:r>
              </w:sdtContent>
            </w:sdt>
          </w:p>
        </w:tc>
        <w:tc>
          <w:tcPr>
            <w:tcW w:type="dxa" w:w="237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23"/>
                <w:alias w:val="DKMH_03_F023"/>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088"/>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24"/>
                <w:alias w:val="DKMH_03_F024"/>
                <w:text/>
              </w:sdtPr>
              <w:sdtContent>
                <w:r>
                  <w:rPr>
                    <w:rFonts w:ascii="Noto Naskh Arabic" w:hAnsi="Noto Naskh Arabic" w:cs="Noto Naskh Arabic" w:eastAsia="Noto Naskh Arabic"/>
                    <w:color w:val="333333"/>
                    <w:sz w:val="17"/>
                    <w:rtl w:val="1"/>
                  </w:rPr>
                  <w:t>[اكتب هنا]</w:t>
                </w:r>
              </w:sdtContent>
            </w:sdt>
          </w:p>
        </w:tc>
        <w:tc>
          <w:tcPr>
            <w:tcW w:type="dxa" w:w="3096"/>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25"/>
                <w:alias w:val="DKMH_03_F025"/>
                <w:text/>
              </w:sdtPr>
              <w:sdtContent>
                <w:r>
                  <w:rPr>
                    <w:rFonts w:ascii="Noto Naskh Arabic" w:hAnsi="Noto Naskh Arabic" w:cs="Noto Naskh Arabic" w:eastAsia="Noto Naskh Arabic"/>
                    <w:color w:val="333333"/>
                    <w:sz w:val="17"/>
                    <w:rtl w:val="1"/>
                  </w:rPr>
                  <w:t>[اكتب هنا]</w:t>
                </w:r>
              </w:sdtContent>
            </w:sdt>
          </w:p>
        </w:tc>
        <w:tc>
          <w:tcPr>
            <w:tcW w:type="dxa" w:w="1728"/>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26"/>
                <w:alias w:val="DKMH_03_F026"/>
                <w:text/>
              </w:sdtPr>
              <w:sdtContent>
                <w:r>
                  <w:rPr>
                    <w:rFonts w:ascii="Noto Naskh Arabic" w:hAnsi="Noto Naskh Arabic" w:cs="Noto Naskh Arabic" w:eastAsia="Noto Naskh Arabic"/>
                    <w:color w:val="333333"/>
                    <w:sz w:val="17"/>
                    <w:rtl w:val="1"/>
                  </w:rPr>
                  <w:t>[اكتب هنا]</w:t>
                </w:r>
              </w:sdtContent>
            </w:sdt>
          </w:p>
        </w:tc>
        <w:tc>
          <w:tcPr>
            <w:tcW w:type="dxa" w:w="1655"/>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27"/>
                <w:alias w:val="DKMH_03_F027"/>
                <w:text/>
              </w:sdtPr>
              <w:sdtContent>
                <w:r>
                  <w:rPr>
                    <w:rFonts w:ascii="Noto Naskh Arabic" w:hAnsi="Noto Naskh Arabic" w:cs="Noto Naskh Arabic" w:eastAsia="Noto Naskh Arabic"/>
                    <w:color w:val="333333"/>
                    <w:sz w:val="17"/>
                    <w:rtl w:val="1"/>
                  </w:rPr>
                  <w:t>[اكتب هنا]</w:t>
                </w:r>
              </w:sdtContent>
            </w:sdt>
          </w:p>
        </w:tc>
        <w:tc>
          <w:tcPr>
            <w:tcW w:type="dxa" w:w="2376"/>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28"/>
                <w:alias w:val="DKMH_03_F028"/>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08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29"/>
                <w:alias w:val="DKMH_03_F029"/>
                <w:text/>
              </w:sdtPr>
              <w:sdtContent>
                <w:r>
                  <w:rPr>
                    <w:rFonts w:ascii="Noto Naskh Arabic" w:hAnsi="Noto Naskh Arabic" w:cs="Noto Naskh Arabic" w:eastAsia="Noto Naskh Arabic"/>
                    <w:color w:val="333333"/>
                    <w:sz w:val="17"/>
                    <w:rtl w:val="1"/>
                  </w:rPr>
                  <w:t>[اكتب هنا]</w:t>
                </w:r>
              </w:sdtContent>
            </w:sdt>
          </w:p>
        </w:tc>
        <w:tc>
          <w:tcPr>
            <w:tcW w:type="dxa" w:w="309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30"/>
                <w:alias w:val="DKMH_03_F030"/>
                <w:text/>
              </w:sdtPr>
              <w:sdtContent>
                <w:r>
                  <w:rPr>
                    <w:rFonts w:ascii="Noto Naskh Arabic" w:hAnsi="Noto Naskh Arabic" w:cs="Noto Naskh Arabic" w:eastAsia="Noto Naskh Arabic"/>
                    <w:color w:val="333333"/>
                    <w:sz w:val="17"/>
                    <w:rtl w:val="1"/>
                  </w:rPr>
                  <w:t>[اكتب هنا]</w:t>
                </w:r>
              </w:sdtContent>
            </w:sdt>
          </w:p>
        </w:tc>
        <w:tc>
          <w:tcPr>
            <w:tcW w:type="dxa" w:w="172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31"/>
                <w:alias w:val="DKMH_03_F031"/>
                <w:text/>
              </w:sdtPr>
              <w:sdtContent>
                <w:r>
                  <w:rPr>
                    <w:rFonts w:ascii="Noto Naskh Arabic" w:hAnsi="Noto Naskh Arabic" w:cs="Noto Naskh Arabic" w:eastAsia="Noto Naskh Arabic"/>
                    <w:color w:val="333333"/>
                    <w:sz w:val="17"/>
                    <w:rtl w:val="1"/>
                  </w:rPr>
                  <w:t>[اكتب هنا]</w:t>
                </w:r>
              </w:sdtContent>
            </w:sdt>
          </w:p>
        </w:tc>
        <w:tc>
          <w:tcPr>
            <w:tcW w:type="dxa" w:w="1655"/>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32"/>
                <w:alias w:val="DKMH_03_F032"/>
                <w:text/>
              </w:sdtPr>
              <w:sdtContent>
                <w:r>
                  <w:rPr>
                    <w:rFonts w:ascii="Noto Naskh Arabic" w:hAnsi="Noto Naskh Arabic" w:cs="Noto Naskh Arabic" w:eastAsia="Noto Naskh Arabic"/>
                    <w:color w:val="333333"/>
                    <w:sz w:val="17"/>
                    <w:rtl w:val="1"/>
                  </w:rPr>
                  <w:t>[اكتب هنا]</w:t>
                </w:r>
              </w:sdtContent>
            </w:sdt>
          </w:p>
        </w:tc>
        <w:tc>
          <w:tcPr>
            <w:tcW w:type="dxa" w:w="237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33"/>
                <w:alias w:val="DKMH_03_F033"/>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088"/>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34"/>
                <w:alias w:val="DKMH_03_F034"/>
                <w:text/>
              </w:sdtPr>
              <w:sdtContent>
                <w:r>
                  <w:rPr>
                    <w:rFonts w:ascii="Noto Naskh Arabic" w:hAnsi="Noto Naskh Arabic" w:cs="Noto Naskh Arabic" w:eastAsia="Noto Naskh Arabic"/>
                    <w:color w:val="333333"/>
                    <w:sz w:val="17"/>
                    <w:rtl w:val="1"/>
                  </w:rPr>
                  <w:t>[اكتب هنا]</w:t>
                </w:r>
              </w:sdtContent>
            </w:sdt>
          </w:p>
        </w:tc>
        <w:tc>
          <w:tcPr>
            <w:tcW w:type="dxa" w:w="3096"/>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35"/>
                <w:alias w:val="DKMH_03_F035"/>
                <w:text/>
              </w:sdtPr>
              <w:sdtContent>
                <w:r>
                  <w:rPr>
                    <w:rFonts w:ascii="Noto Naskh Arabic" w:hAnsi="Noto Naskh Arabic" w:cs="Noto Naskh Arabic" w:eastAsia="Noto Naskh Arabic"/>
                    <w:color w:val="333333"/>
                    <w:sz w:val="17"/>
                    <w:rtl w:val="1"/>
                  </w:rPr>
                  <w:t>[اكتب هنا]</w:t>
                </w:r>
              </w:sdtContent>
            </w:sdt>
          </w:p>
        </w:tc>
        <w:tc>
          <w:tcPr>
            <w:tcW w:type="dxa" w:w="1728"/>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36"/>
                <w:alias w:val="DKMH_03_F036"/>
                <w:text/>
              </w:sdtPr>
              <w:sdtContent>
                <w:r>
                  <w:rPr>
                    <w:rFonts w:ascii="Noto Naskh Arabic" w:hAnsi="Noto Naskh Arabic" w:cs="Noto Naskh Arabic" w:eastAsia="Noto Naskh Arabic"/>
                    <w:color w:val="333333"/>
                    <w:sz w:val="17"/>
                    <w:rtl w:val="1"/>
                  </w:rPr>
                  <w:t>[اكتب هنا]</w:t>
                </w:r>
              </w:sdtContent>
            </w:sdt>
          </w:p>
        </w:tc>
        <w:tc>
          <w:tcPr>
            <w:tcW w:type="dxa" w:w="1655"/>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37"/>
                <w:alias w:val="DKMH_03_F037"/>
                <w:text/>
              </w:sdtPr>
              <w:sdtContent>
                <w:r>
                  <w:rPr>
                    <w:rFonts w:ascii="Noto Naskh Arabic" w:hAnsi="Noto Naskh Arabic" w:cs="Noto Naskh Arabic" w:eastAsia="Noto Naskh Arabic"/>
                    <w:color w:val="333333"/>
                    <w:sz w:val="17"/>
                    <w:rtl w:val="1"/>
                  </w:rPr>
                  <w:t>[اكتب هنا]</w:t>
                </w:r>
              </w:sdtContent>
            </w:sdt>
          </w:p>
        </w:tc>
        <w:tc>
          <w:tcPr>
            <w:tcW w:type="dxa" w:w="2376"/>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3_F038"/>
                <w:alias w:val="DKMH_03_F038"/>
                <w:text/>
              </w:sdtPr>
              <w:sdtContent>
                <w:r>
                  <w:rPr>
                    <w:rFonts w:ascii="Noto Naskh Arabic" w:hAnsi="Noto Naskh Arabic" w:cs="Noto Naskh Arabic" w:eastAsia="Noto Naskh Arabic"/>
                    <w:color w:val="333333"/>
                    <w:sz w:val="17"/>
                    <w:rtl w:val="1"/>
                  </w:rPr>
                  <w:t>[اكتب هنا]</w:t>
                </w:r>
              </w:sdtContent>
            </w:sdt>
          </w:p>
        </w:tc>
      </w:tr>
    </w:tbl>
    <w:p>
      <w:pPr>
        <w:bidi w:val="1"/>
        <w:spacing w:after="40"/>
        <w:jc w:val="right"/>
      </w:pP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top w:val="single" w:sz="8" w:color="365E54"/>
              <w:left w:val="single" w:sz="4" w:color="C6D5CF"/>
              <w:bottom w:val="single" w:sz="4" w:color="C6D5CF"/>
              <w:right w:val="single" w:sz="4" w:color="C6D5CF"/>
            </w:tcBorders>
            <w:tcMar>
              <w:top w:w="80" w:type="dxa"/>
              <w:start w:w="90" w:type="dxa"/>
              <w:bottom w:w="80" w:type="dxa"/>
              <w:end w:w="90" w:type="dxa"/>
            </w:tcMar>
            <w:vAlign w:val="center"/>
          </w:tcPr>
          <w:p>
            <w:pPr>
              <w:spacing w:after="0" w:before="0" w:line="240" w:lineRule="auto"/>
              <w:jc w:val="right"/>
              <w:bidi w:val="1"/>
            </w:pPr>
            <w:r>
              <w:rPr>
                <w:rFonts w:ascii="Noto Sans Arabic" w:hAnsi="Noto Sans Arabic" w:cs="Noto Sans Arabic" w:eastAsia="Noto Naskh Arabic"/>
                <w:b/>
                <w:color w:val="24322E"/>
                <w:sz w:val="16"/>
                <w:rtl w:val="1"/>
              </w:rPr>
              <w:t>قاعدة تنفيذية</w:t>
              <w:br/>
            </w:r>
            <w:r>
              <w:rPr>
                <w:rFonts w:ascii="Noto Sans Arabic" w:hAnsi="Noto Sans Arabic" w:cs="Noto Sans Arabic" w:eastAsia="Noto Naskh Arabic"/>
                <w:b/>
                <w:sz w:val="16"/>
                <w:rtl w:val="1"/>
              </w:rPr>
              <w:t>لا تُقترح أدوات تذكير أو إشراف أسري تلقائياً. تُختار الوسيلة المناسبة مع المراجع، مع احترام الاستقلال والخصوصية والقدرة المادية. أي تغيير دوائي يُحال إلى الواصف.</w:t>
            </w:r>
          </w:p>
        </w:tc>
      </w:tr>
    </w:tbl>
    <w:p>
      <w:pPr>
        <w:bidi w:val="1"/>
        <w:spacing w:after="4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اعتماد وتوقيع</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اسم الموثّق</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الصفة المهنية</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التوقيع</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التاريخ والوقت</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bl>
    <w:p>
      <w:pPr>
        <w:bidi w:val="1"/>
        <w:spacing w:after="40"/>
        <w:jc w:val="right"/>
      </w:pPr>
    </w:p>
    <w:p>
      <w:pPr>
        <w:spacing w:after="40"/>
        <w:jc w:val="right"/>
        <w:bidi w:val="1"/>
      </w:pPr>
      <w:r>
        <w:rPr>
          <w:rFonts w:ascii="Noto Sans Arabic" w:hAnsi="Noto Sans Arabic" w:cs="Noto Sans Arabic" w:eastAsia="Noto Naskh Arabic"/>
          <w:b/>
          <w:color w:val="24322E"/>
          <w:sz w:val="17"/>
          <w:rtl w:val="1"/>
        </w:rPr>
        <w:t xml:space="preserve">مرجعية التصميم: </w:t>
      </w:r>
      <w:hyperlink r:id="rId11">
        <w:r>
          <w:rPr>
            <w:color w:val="365E54"/>
            <w:u w:val="single"/>
            <w:rFonts w:ascii="Noto Naskh Arabic" w:hAnsi="Noto Naskh Arabic" w:cs="Noto Naskh Arabic"/>
            <w:rtl w:val="1"/>
          </w:rPr>
          <w:t>المعهد الوطني للصحة وجودة الرعاية NICE — Medicines adherence: CG76</w:t>
        </w:r>
      </w:hyperlink>
      <w:r>
        <w:rPr>
          <w:rFonts w:ascii="Noto Sans Arabic" w:hAnsi="Noto Sans Arabic" w:cs="Noto Sans Arabic" w:eastAsia="Noto Naskh Arabic"/>
          <w:sz w:val="17"/>
          <w:rtl w:val="1"/>
        </w:rPr>
        <w:t xml:space="preserve">؛ </w:t>
      </w:r>
      <w:hyperlink r:id="rId12">
        <w:r>
          <w:rPr>
            <w:color w:val="365E54"/>
            <w:u w:val="single"/>
            <w:rFonts w:ascii="Noto Naskh Arabic" w:hAnsi="Noto Naskh Arabic" w:cs="Noto Naskh Arabic"/>
            <w:rtl w:val="1"/>
          </w:rPr>
          <w:t>المعهد الوطني للصحة وجودة الرعاية NICE — Medicines optimisation: NG5</w:t>
        </w:r>
      </w:hyperlink>
    </w:p>
    <w:p>
      <w:pPr>
        <w:jc w:val="right"/>
        <w:bidi/>
      </w:pPr>
      <w:r>
        <w:rPr>
          <w:rFonts w:ascii="Noto Sans Arabic" w:hAnsi="Noto Sans Arabic" w:cs="Noto Sans Arabic"/>
          <w:b w:val="0"/>
          <w:sz w:val="16"/>
        </w:rPr>
        <w:t>حقوق الاستخدام: يسمح بالاستخدام السريري الداخلي غير التجاري مع الحفاظ على اسم المصدر ورقم الإصدار. لا يسمح بإعادة البيع أو النشر المعدل أو تقديم الأداة بوصفها معتمدة من جهة خارجية دون إذن مكتوب. يتحمل المستخدم مسؤولية التكييف المحلي والتحقق من ملاءمتها.</w:t>
      </w:r>
    </w:p>
    <w:sectPr w:rsidR="00FC693F" w:rsidRPr="0006063C" w:rsidSect="00034616">
      <w:headerReference w:type="default" r:id="rId9"/>
      <w:footerReference w:type="default" r:id="rId10"/>
      <w:headerReference w:type="first" r:id="rId13"/>
      <w:footerReference w:type="first" r:id="rId14"/>
      <w:headerReference w:type="even" r:id="rId15"/>
      <w:footerReference w:type="even" r:id="rId16"/>
      <w:pgSz w:w="11906" w:h="16838"/>
      <w:pgMar w:top="680" w:right="680" w:bottom="737" w:left="680" w:header="340"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Sans Arabic" w:hAnsi="Noto Sans Arabic" w:cs="Noto Sans Arabic" w:eastAsia="Noto Naskh Arabic"/>
        <w:b w:val="0"/>
        <w:color w:val="666666"/>
        <w:sz w:val="16"/>
        <w:rtl w:val="1"/>
      </w:rPr>
      <w:t>© 2026 عيادة الدكتور خالد النفسية | الإصدار 1.2.0 | استخدام مهني مضبوط وخاضع للمراجعة | www.drkhalidmentalhealth.com</w:t>
    </w:r>
    <w:r>
      <w:rPr>
        <w:rFonts w:ascii="Noto Sans Arabic" w:hAnsi="Noto Sans Arabic" w:cs="Noto Sans Arabic" w:eastAsia="Noto Naskh Arabic"/>
        <w:color w:val="666666"/>
        <w:sz w:val="17"/>
        <w:rtl w:val="1"/>
      </w:r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val="1"/>
    </w:pPr>
    <w:r>
      <w:rPr>
        <w:rFonts w:ascii="Noto Naskh Arabic" w:hAnsi="Noto Naskh Arabic" w:cs="Noto Naskh Arabic" w:eastAsia="Noto Naskh Arabic"/>
        <w:b/>
        <w:color w:val="365E54"/>
        <w:sz w:val="17"/>
        <w:rtl w:val="1"/>
      </w:rPr>
      <w:t>عيادة الدكتور خالد النفسية  |  مساحة المختصين  |  المكتبة</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9" w:lineRule="auto"/>
      <w:bidi w:val="1"/>
    </w:pPr>
    <w:rPr>
      <w:rFonts w:ascii="Noto Naskh Arabic" w:hAnsi="Noto Naskh Arabic" w:cs="Noto Naskh Arabic"/>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80"/>
      <w:outlineLvl w:val="0"/>
      <w:bidi w:val="1"/>
    </w:pPr>
    <w:rPr>
      <w:rFonts w:asciiTheme="majorHAnsi" w:eastAsiaTheme="majorEastAsia" w:hAnsiTheme="majorHAnsi" w:cstheme="majorBidi" w:ascii="Noto Sans Arabic" w:hAnsi="Noto Sans Arabic" w:cs="Noto Sans Arabic"/>
      <w:b/>
      <w:bCs/>
      <w:color w:val="24322E"/>
      <w:sz w:val="32"/>
      <w:szCs w:val="28"/>
    </w:rPr>
  </w:style>
  <w:style w:type="paragraph" w:styleId="Heading2">
    <w:name w:val="heading 2"/>
    <w:basedOn w:val="Normal"/>
    <w:next w:val="Normal"/>
    <w:link w:val="Heading2Char"/>
    <w:uiPriority w:val="9"/>
    <w:unhideWhenUsed/>
    <w:qFormat/>
    <w:rsid w:val="00FC693F"/>
    <w:pPr>
      <w:keepNext/>
      <w:keepLines/>
      <w:spacing w:before="120" w:after="80"/>
      <w:outlineLvl w:val="1"/>
      <w:bidi w:val="1"/>
    </w:pPr>
    <w:rPr>
      <w:rFonts w:asciiTheme="majorHAnsi" w:eastAsiaTheme="majorEastAsia" w:hAnsiTheme="majorHAnsi" w:cstheme="majorBidi" w:ascii="Noto Sans Arabic" w:hAnsi="Noto Sans Arabic" w:cs="Noto Sans Arabic"/>
      <w:b/>
      <w:bCs/>
      <w:color w:val="365E54"/>
      <w:sz w:val="26"/>
      <w:szCs w:val="26"/>
    </w:rPr>
  </w:style>
  <w:style w:type="paragraph" w:styleId="Heading3">
    <w:name w:val="heading 3"/>
    <w:basedOn w:val="Normal"/>
    <w:next w:val="Normal"/>
    <w:link w:val="Heading3Char"/>
    <w:uiPriority w:val="9"/>
    <w:unhideWhenUsed/>
    <w:qFormat/>
    <w:rsid w:val="00FC693F"/>
    <w:pPr>
      <w:keepNext/>
      <w:keepLines/>
      <w:spacing w:before="120" w:after="80"/>
      <w:outlineLvl w:val="2"/>
      <w:bidi w:val="1"/>
    </w:pPr>
    <w:rPr>
      <w:rFonts w:asciiTheme="majorHAnsi" w:eastAsiaTheme="majorEastAsia" w:hAnsiTheme="majorHAnsi" w:cstheme="majorBidi" w:ascii="Noto Sans Arabic" w:hAnsi="Noto Sans Arabic" w:cs="Noto Sans Arabic"/>
      <w:b/>
      <w:bCs/>
      <w:color w:val="24322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120"/>
      <w:contextualSpacing/>
      <w:bidi w:val="1"/>
    </w:pPr>
    <w:rPr>
      <w:rFonts w:asciiTheme="majorHAnsi" w:eastAsiaTheme="majorEastAsia" w:hAnsiTheme="majorHAnsi" w:cstheme="majorBidi" w:ascii="Noto Sans Arabic" w:hAnsi="Noto Sans Arabic" w:cs="Noto Sans Arabic"/>
      <w:b/>
      <w:color w:val="24322E"/>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Label">
    <w:name w:val="Form Label"/>
    <w:pPr>
      <w:spacing w:after="20"/>
      <w:bidi w:val="1"/>
    </w:pPr>
    <w:rPr>
      <w:rFonts w:ascii="Noto Sans Arabic" w:hAnsi="Noto Sans Arabic" w:cs="Noto Sans Arabic"/>
      <w:b/>
      <w:color w:val="24322E"/>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nice.org.uk/guidance/cg76" TargetMode="External"/><Relationship Id="rId12" Type="http://schemas.openxmlformats.org/officeDocument/2006/relationships/hyperlink" Target="https://www.nice.org.uk/guidance/ng5" TargetMode="Externa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تقييم الالتزام الدوائي</dc:title>
  <dc:subject>Controlled internal professional clinical documentation toolkit - version 1.2.0</dc:subject>
  <dc:creator>Dr. Khalid Mental Health Clinic</dc:creator>
  <cp:keywords>telepsychiatry, medication safety, clinical documentation, risk escalation, Sudan</cp:keywords>
  <dc:description>Internal professional release; not external regulatory or academic accreditation.</dc:description>
  <cp:lastModifiedBy>Dr. Khalid Mental Health Clinic</cp:lastModifiedBy>
  <cp:revision>1</cp:revision>
  <dcterms:created xsi:type="dcterms:W3CDTF">2026-08-02T11:27:00Z</dcterms:created>
  <dcterms:modified xsi:type="dcterms:W3CDTF">2026-08-02T11:27:00Z</dcterms:modified>
  <cp:category/>
</cp:coreProperties>
</file>