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40"/>
        <w:jc w:val="right"/>
        <w:bidi w:val="1"/>
      </w:pPr>
      <w:r>
        <w:rPr>
          <w:rFonts w:ascii="Noto Sans Arabic" w:hAnsi="Noto Sans Arabic" w:cs="Noto Sans Arabic" w:eastAsia="Noto Sans Arabic"/>
          <w:b/>
          <w:sz w:val="44"/>
          <w:rtl w:val="1"/>
        </w:rPr>
        <w:t>قالب خطاب إحالة أو تحويل للطبيب</w:t>
      </w:r>
    </w:p>
    <w:p>
      <w:pPr>
        <w:spacing w:after="40"/>
        <w:jc w:val="right"/>
        <w:bidi w:val="1"/>
      </w:pPr>
      <w:r>
        <w:rPr>
          <w:rFonts w:ascii="Noto Sans Arabic" w:hAnsi="Noto Sans Arabic" w:cs="Noto Sans Arabic" w:eastAsia="Noto Naskh Arabic"/>
          <w:color w:val="365E54"/>
          <w:sz w:val="22"/>
          <w:rtl w:val="1"/>
        </w:rPr>
        <w:t>قالب مهني مختصر يوضح السؤال السريري ودرجة الاستعجال والمعلومات اللازمة للاستمرارية</w:t>
      </w:r>
    </w:p>
    <w:p>
      <w:pPr>
        <w:spacing w:after="40"/>
        <w:jc w:val="right"/>
        <w:bidi w:val="1"/>
      </w:pPr>
      <w:r>
        <w:rPr>
          <w:rFonts w:ascii="Noto Sans Arabic" w:hAnsi="Noto Sans Arabic" w:cs="Noto Sans Arabic" w:eastAsia="Noto Naskh Arabic"/>
          <w:color w:val="666666"/>
          <w:sz w:val="17"/>
        </w:rPr>
        <w:t>رمز النموذج: DKMH-LIB-REF-01    |    الإصدار: 1.2.0    |    تاريخ الإصدار الداخلي: 2 أغسطس 2026 | حالة المراجعة: مراجعة داخلية مهنية</w:t>
      </w:r>
    </w:p>
    <w:tbl>
      <w:tblPr>
        <w:tblW w:type="auto" w:w="0"/>
        <w:jc w:val="center"/>
        <w:tblLayout w:type="autofit"/>
        <w:tblLook w:firstColumn="1" w:firstRow="1" w:lastColumn="0" w:lastRow="0" w:noHBand="0" w:noVBand="1" w:val="04A0"/>
      </w:tblPr>
      <w:tblGrid>
        <w:gridCol w:w="10368"/>
      </w:tblGrid>
      <w:tr>
        <w:trPr>
          <w:tblHeader w:val="true"/>
        </w:trPr>
        <w:tc>
          <w:tcPr>
            <w:tcW w:type="dxa" w:w="10368"/>
            <w:shd w:fill="D9E8E6"/>
            <w:tcBorders>
              <w:bottom w:val="single" w:sz="2" w:color="365E54"/>
            </w:tcBorders>
            <w:tcMar>
              <w:top w:w="80" w:type="dxa"/>
              <w:start w:w="90" w:type="dxa"/>
              <w:bottom w:w="80" w:type="dxa"/>
              <w:end w:w="90" w:type="dxa"/>
            </w:tcMar>
            <w:vAlign w:val="center"/>
          </w:tcPr>
          <w:p>
            <w:pPr>
              <w:bidi w:val="1"/>
              <w:spacing w:after="0" w:before="0" w:line="240" w:lineRule="auto"/>
              <w:jc w:val="right"/>
            </w:pPr>
          </w:p>
        </w:tc>
      </w:tr>
    </w:tbl>
    <w:p>
      <w:pPr>
        <w:bidi w:val="1"/>
        <w:spacing w:after="40"/>
        <w:jc w:val="right"/>
      </w:pPr>
    </w:p>
    <w:tbl>
      <w:tblPr>
        <w:tblW w:type="auto" w:w="0"/>
        <w:jc w:val="center"/>
        <w:tblLayout w:type="autofit"/>
        <w:tblLook w:firstColumn="1" w:firstRow="1" w:lastColumn="0" w:lastRow="0" w:noHBand="0" w:noVBand="1" w:val="04A0"/>
      </w:tblPr>
      <w:tblGrid>
        <w:gridCol w:w="10368"/>
      </w:tblGrid>
      <w:tr>
        <w:trPr>
          <w:tblHeader w:val="true"/>
        </w:trPr>
        <w:tc>
          <w:tcPr>
            <w:tcW w:type="dxa" w:w="10368"/>
            <w:shd w:fill="D9E8E6"/>
            <w:tcBorders>
              <w:top w:val="single" w:sz="8" w:color="365E54"/>
              <w:left w:val="single" w:sz="4" w:color="C6D5CF"/>
              <w:bottom w:val="single" w:sz="4" w:color="C6D5CF"/>
              <w:right w:val="single" w:sz="4" w:color="C6D5CF"/>
            </w:tcBorders>
            <w:tcMar>
              <w:top w:w="80" w:type="dxa"/>
              <w:start w:w="90" w:type="dxa"/>
              <w:bottom w:w="80" w:type="dxa"/>
              <w:end w:w="90" w:type="dxa"/>
            </w:tcMar>
            <w:vAlign w:val="center"/>
          </w:tcPr>
          <w:p>
            <w:pPr>
              <w:spacing w:after="0" w:before="0" w:line="240" w:lineRule="auto"/>
              <w:jc w:val="right"/>
              <w:bidi w:val="1"/>
            </w:pPr>
            <w:r>
              <w:rPr>
                <w:rFonts w:ascii="Noto Sans Arabic" w:hAnsi="Noto Sans Arabic" w:cs="Noto Sans Arabic" w:eastAsia="Noto Naskh Arabic"/>
                <w:b/>
                <w:sz w:val="16"/>
              </w:rPr>
              <w:t>حدود الاستخدام المهنية</w:t>
              <w:br/>
              <w:t>يُشارك الحد الأدنى الضروري من المعلومات وبعد موافقة المراجع متى كان ذلك ممكناً. لا تستخدم لغة قطعية عند غياب اليقين، وميّز بين الوقائع، وما أفاد به المراجع، والانطباع السريري. في الحالات الطارئة لا يكفي إرسال الخطاب وحده؛ يجب التواصل المباشر مع المرفق وترتيب الوصول أو النقل متى أمكن.</w:t>
            </w:r>
          </w:p>
        </w:tc>
      </w:tr>
    </w:tbl>
    <w:tbl>
      <w:tblPr>
        <w:tblW w:type="auto" w:w="0"/>
        <w:jc w:val="center"/>
        <w:tblLook w:firstColumn="1" w:firstRow="1" w:lastColumn="0" w:lastRow="0" w:noHBand="0" w:noVBand="1" w:val="04A0"/>
      </w:tblPr>
      <w:tblGrid>
        <w:gridCol w:w="5273"/>
        <w:gridCol w:w="5273"/>
      </w:tblGrid>
      <w:tr>
        <w:trPr>
          <w:tblHeader w:val="true"/>
        </w:trPr>
        <w:tc>
          <w:tcPr>
            <w:tcW w:type="dxa" w:w="9184"/>
            <w:vAlign w:val="center"/>
            <w:gridSpan w:val="2"/>
            <w:shd w:fill="D9E8E6"/>
          </w:tcPr>
          <w:p>
            <w:pPr>
              <w:jc w:val="right"/>
              <w:bidi/>
            </w:pPr>
            <w:r>
              <w:rPr>
                <w:rFonts w:ascii="Noto Sans Arabic" w:hAnsi="Noto Sans Arabic" w:cs="Noto Sans Arabic"/>
                <w:b/>
                <w:sz w:val="16"/>
              </w:rPr>
              <w:t>ضبط المستند والحوكمة</w:t>
            </w:r>
          </w:p>
        </w:tc>
      </w:tr>
      <w:tr>
        <w:tc>
          <w:tcPr>
            <w:tcW w:type="dxa" w:w="2381"/>
            <w:vAlign w:val="center"/>
          </w:tcPr>
          <w:p>
            <w:pPr>
              <w:jc w:val="right"/>
              <w:bidi/>
            </w:pPr>
            <w:r>
              <w:rPr>
                <w:rFonts w:ascii="Noto Sans Arabic" w:hAnsi="Noto Sans Arabic" w:cs="Noto Sans Arabic"/>
                <w:sz w:val="16"/>
              </w:rPr>
              <w:t>الجهة المالكة</w:t>
            </w:r>
          </w:p>
        </w:tc>
        <w:tc>
          <w:tcPr>
            <w:tcW w:type="dxa" w:w="6803"/>
            <w:vAlign w:val="center"/>
          </w:tcPr>
          <w:p>
            <w:pPr>
              <w:jc w:val="right"/>
              <w:bidi/>
            </w:pPr>
            <w:r>
              <w:rPr>
                <w:rFonts w:ascii="Noto Sans Arabic" w:hAnsi="Noto Sans Arabic" w:cs="Noto Sans Arabic"/>
                <w:sz w:val="16"/>
              </w:rPr>
              <w:t>عيادة الدكتور خالد النفسية</w:t>
            </w:r>
          </w:p>
        </w:tc>
      </w:tr>
      <w:tr>
        <w:tc>
          <w:tcPr>
            <w:tcW w:type="dxa" w:w="2381"/>
            <w:vAlign w:val="center"/>
          </w:tcPr>
          <w:p>
            <w:pPr>
              <w:jc w:val="right"/>
              <w:bidi/>
            </w:pPr>
            <w:r>
              <w:rPr>
                <w:rFonts w:ascii="Noto Sans Arabic" w:hAnsi="Noto Sans Arabic" w:cs="Noto Sans Arabic"/>
                <w:sz w:val="16"/>
              </w:rPr>
              <w:t>المسؤول عن المحتوى السريري</w:t>
            </w:r>
          </w:p>
        </w:tc>
        <w:tc>
          <w:tcPr>
            <w:tcW w:type="dxa" w:w="6803"/>
            <w:vAlign w:val="center"/>
          </w:tcPr>
          <w:p>
            <w:pPr>
              <w:jc w:val="right"/>
              <w:bidi/>
            </w:pPr>
            <w:r>
              <w:rPr>
                <w:rFonts w:ascii="Noto Sans Arabic" w:hAnsi="Noto Sans Arabic" w:cs="Noto Sans Arabic"/>
                <w:sz w:val="16"/>
              </w:rPr>
              <w:t>د. خالد حسن أحمد حسن — طبيب ومؤسس عيادة الدكتور خالد النفسية | الطب النفسي عن بُعد وخدمات الصحة النفسية المجتمعية</w:t>
            </w:r>
          </w:p>
        </w:tc>
      </w:tr>
      <w:tr>
        <w:tc>
          <w:tcPr>
            <w:tcW w:type="dxa" w:w="2381"/>
            <w:vAlign w:val="center"/>
          </w:tcPr>
          <w:p>
            <w:pPr>
              <w:jc w:val="right"/>
              <w:bidi/>
            </w:pPr>
            <w:r>
              <w:rPr>
                <w:rFonts w:ascii="Noto Sans Arabic" w:hAnsi="Noto Sans Arabic" w:cs="Noto Sans Arabic"/>
                <w:sz w:val="16"/>
              </w:rPr>
              <w:t>حالة الإصدار</w:t>
            </w:r>
          </w:p>
        </w:tc>
        <w:tc>
          <w:tcPr>
            <w:tcW w:type="dxa" w:w="6803"/>
            <w:vAlign w:val="center"/>
          </w:tcPr>
          <w:p>
            <w:pPr>
              <w:jc w:val="right"/>
              <w:bidi/>
            </w:pPr>
            <w:r>
              <w:rPr>
                <w:rFonts w:ascii="Noto Sans Arabic" w:hAnsi="Noto Sans Arabic" w:cs="Noto Sans Arabic"/>
                <w:sz w:val="16"/>
              </w:rPr>
              <w:t>مراجعة داخلية مهنية. لا يمثل هذا الوصف اعتماداً تنظيمياً أو أكاديمياً خارجياً.</w:t>
            </w:r>
          </w:p>
        </w:tc>
      </w:tr>
      <w:tr>
        <w:tc>
          <w:tcPr>
            <w:tcW w:type="dxa" w:w="2381"/>
            <w:vAlign w:val="center"/>
          </w:tcPr>
          <w:p>
            <w:pPr>
              <w:jc w:val="right"/>
              <w:bidi/>
            </w:pPr>
            <w:r>
              <w:rPr>
                <w:rFonts w:ascii="Noto Sans Arabic" w:hAnsi="Noto Sans Arabic" w:cs="Noto Sans Arabic"/>
                <w:sz w:val="16"/>
              </w:rPr>
              <w:t>نطاق الاستخدام</w:t>
            </w:r>
          </w:p>
        </w:tc>
        <w:tc>
          <w:tcPr>
            <w:tcW w:type="dxa" w:w="6803"/>
            <w:vAlign w:val="center"/>
          </w:tcPr>
          <w:p>
            <w:pPr>
              <w:jc w:val="right"/>
              <w:bidi/>
            </w:pPr>
            <w:r>
              <w:rPr>
                <w:rFonts w:ascii="Noto Sans Arabic" w:hAnsi="Noto Sans Arabic" w:cs="Noto Sans Arabic"/>
                <w:sz w:val="16"/>
              </w:rPr>
              <w:t>أداة توثيق ودعم قرار للممارسين المؤهلين، مع ضرورة التكييف حسب القوانين ونطاق الممارسة والبروتوكولات المحلية.</w:t>
            </w:r>
          </w:p>
        </w:tc>
      </w:tr>
      <w:tr>
        <w:tc>
          <w:tcPr>
            <w:tcW w:type="dxa" w:w="2381"/>
            <w:vAlign w:val="center"/>
          </w:tcPr>
          <w:p>
            <w:pPr>
              <w:jc w:val="right"/>
              <w:bidi/>
            </w:pPr>
            <w:r>
              <w:rPr>
                <w:rFonts w:ascii="Noto Sans Arabic" w:hAnsi="Noto Sans Arabic" w:cs="Noto Sans Arabic"/>
                <w:sz w:val="16"/>
              </w:rPr>
              <w:t>دورة المراجعة</w:t>
            </w:r>
          </w:p>
        </w:tc>
        <w:tc>
          <w:tcPr>
            <w:tcW w:type="dxa" w:w="6803"/>
            <w:vAlign w:val="center"/>
          </w:tcPr>
          <w:p>
            <w:pPr>
              <w:jc w:val="right"/>
              <w:bidi/>
            </w:pPr>
            <w:r>
              <w:rPr>
                <w:rFonts w:ascii="Noto Sans Arabic" w:hAnsi="Noto Sans Arabic" w:cs="Noto Sans Arabic"/>
                <w:sz w:val="16"/>
              </w:rPr>
              <w:t>كل 6 أشهر أو عند تغير جوهري في الدليل أو التنظيم أو السلامة.</w:t>
            </w:r>
          </w:p>
        </w:tc>
      </w:tr>
      <w:tr>
        <w:tc>
          <w:tcPr>
            <w:tcW w:type="dxa" w:w="2381"/>
            <w:vAlign w:val="center"/>
          </w:tcPr>
          <w:p>
            <w:pPr>
              <w:jc w:val="right"/>
              <w:bidi/>
            </w:pPr>
            <w:r>
              <w:rPr>
                <w:rFonts w:ascii="Noto Sans Arabic" w:hAnsi="Noto Sans Arabic" w:cs="Noto Sans Arabic"/>
                <w:sz w:val="16"/>
              </w:rPr>
              <w:t>الإبلاغ عن خطأ أو طلب سحب نسخة</w:t>
            </w:r>
          </w:p>
        </w:tc>
        <w:tc>
          <w:tcPr>
            <w:tcW w:type="dxa" w:w="6803"/>
            <w:vAlign w:val="center"/>
          </w:tcPr>
          <w:p>
            <w:pPr>
              <w:jc w:val="right"/>
              <w:bidi/>
            </w:pPr>
            <w:r>
              <w:rPr>
                <w:rFonts w:ascii="Noto Sans Arabic" w:hAnsi="Noto Sans Arabic" w:cs="Noto Sans Arabic"/>
                <w:sz w:val="16"/>
              </w:rPr>
              <w:t>عبر صفحة الحوكمة والشكاوى بالموقع الرسمي، مع ذكر رمز النموذج ورقم الإصدار.</w:t>
            </w:r>
          </w:p>
        </w:tc>
      </w:tr>
    </w:tbl>
    <w:p>
      <w:pPr>
        <w:bidi w:val="1"/>
        <w:spacing w:after="40"/>
        <w:jc w:val="right"/>
      </w:pPr>
    </w:p>
    <w:tbl>
      <w:tblPr>
        <w:tblW w:type="auto" w:w="0"/>
        <w:jc w:val="center"/>
        <w:tblLayout w:type="autofit"/>
        <w:tblLook w:firstColumn="1" w:firstRow="1" w:lastColumn="0" w:lastRow="0" w:noHBand="0" w:noVBand="1" w:val="04A0"/>
      </w:tblPr>
      <w:tblGrid>
        <w:gridCol w:w="5184"/>
        <w:gridCol w:w="5184"/>
      </w:tblGrid>
      <w:tr>
        <w:trPr>
          <w:tblHeader w:val="true"/>
        </w:trPr>
        <w:tc>
          <w:tcPr>
            <w:tcW w:type="dxa" w:w="10368"/>
            <w:gridSpan w:val="2"/>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بيانات الإحالة</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التاريخ والوقت</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sdt>
              <w:sdtPr>
                <w:tag w:val="DKMH_04_F001"/>
                <w:alias w:val="DKMH_04_F001"/>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درجة الاستعجال</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val="0"/>
                <w:sz w:val="16"/>
              </w:rPr>
              <w:t>☐ طارئة الآن  ☐ عاجلة في اليوم نفسه  ☐ عاجلة خلال مدة متفق عليها مع الطبيب/المرفق  ☐ روتينية</w:t>
            </w:r>
          </w:p>
        </w:tc>
      </w:tr>
      <w:tr>
        <w:tc>
          <w:tcPr>
            <w:tcW w:type="dxa" w:w="5184"/>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val="0"/>
                <w:sz w:val="16"/>
              </w:rPr>
              <w:t>بيانات الشخص المحال</w:t>
            </w:r>
          </w:p>
        </w:tc>
        <w:tc>
          <w:tcPr>
            <w:tcW w:type="dxa" w:w="5184"/>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val="0"/>
                <w:sz w:val="16"/>
              </w:rPr>
              <w:t xml:space="preserve">الاسم/الرمز: </w:t>
            </w:r>
            <w:sdt>
              <w:sdtPr>
                <w:tag w:val="DKMH_04_F002"/>
                <w:alias w:val="DKMH_04_F002"/>
                <w:text/>
              </w:sdtPr>
              <w:sdtContent>
                <w:r>
                  <w:rPr>
                    <w:rFonts w:ascii="Noto Naskh Arabic" w:hAnsi="Noto Naskh Arabic" w:cs="Noto Naskh Arabic" w:eastAsia="Noto Naskh Arabic"/>
                    <w:b w:val="0"/>
                    <w:sz w:val="17"/>
                  </w:rPr>
                  <w:t>[اكتب هنا]</w:t>
                </w:r>
              </w:sdtContent>
            </w:sdt>
            <w:r>
              <w:rPr>
                <w:rFonts w:ascii="Noto Sans Arabic" w:hAnsi="Noto Sans Arabic" w:cs="Noto Sans Arabic" w:eastAsia="Noto Naskh Arabic"/>
                <w:b w:val="0"/>
                <w:sz w:val="16"/>
              </w:rPr>
              <w:t xml:space="preserve">  |  العمر/تاريخ الميلاد: </w:t>
            </w:r>
            <w:sdt>
              <w:sdtPr>
                <w:tag w:val="DKMH_04_F003"/>
                <w:alias w:val="DKMH_04_F003"/>
                <w:text/>
              </w:sdtPr>
              <w:sdtContent>
                <w:r>
                  <w:rPr>
                    <w:rFonts w:ascii="Noto Naskh Arabic" w:hAnsi="Noto Naskh Arabic" w:cs="Noto Naskh Arabic" w:eastAsia="Noto Naskh Arabic"/>
                    <w:b w:val="0"/>
                    <w:sz w:val="17"/>
                  </w:rPr>
                  <w:t>[اكتب هنا]</w:t>
                </w:r>
              </w:sdtContent>
            </w:sdt>
            <w:r>
              <w:rPr>
                <w:rFonts w:ascii="Noto Sans Arabic" w:hAnsi="Noto Sans Arabic" w:cs="Noto Sans Arabic" w:eastAsia="Noto Naskh Arabic"/>
                <w:b w:val="0"/>
                <w:sz w:val="16"/>
              </w:rPr>
              <w:t xml:space="preserve">  |  الهاتف: </w:t>
            </w:r>
            <w:sdt>
              <w:sdtPr>
                <w:tag w:val="DKMH_04_F004"/>
                <w:alias w:val="DKMH_04_F004"/>
                <w:text/>
              </w:sdtPr>
              <w:sdtContent>
                <w:r>
                  <w:rPr>
                    <w:rFonts w:ascii="Noto Naskh Arabic" w:hAnsi="Noto Naskh Arabic" w:cs="Noto Naskh Arabic" w:eastAsia="Noto Naskh Arabic"/>
                    <w:b w:val="0"/>
                    <w:sz w:val="17"/>
                  </w:rPr>
                  <w:t>[اكتب هنا]</w:t>
                </w:r>
              </w:sdtContent>
            </w:sdt>
          </w:p>
        </w:tc>
      </w:tr>
      <w:tr>
        <w:tc>
          <w:tcPr>
            <w:tcW w:type="dxa" w:w="5184"/>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val="0"/>
                <w:sz w:val="16"/>
              </w:rPr>
              <w:t>الموقع الحالي عند الإحالة</w:t>
            </w:r>
          </w:p>
        </w:tc>
        <w:tc>
          <w:tcPr>
            <w:tcW w:type="dxa" w:w="5184"/>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val="0"/>
                <w:sz w:val="16"/>
              </w:rPr>
              <w:t xml:space="preserve">الدولة/المدينة/العنوان أو الوصف الكافي: </w:t>
            </w:r>
            <w:sdt>
              <w:sdtPr>
                <w:tag w:val="DKMH_04_F005"/>
                <w:alias w:val="DKMH_04_F005"/>
                <w:text/>
              </w:sdtPr>
              <w:sdtContent>
                <w:r>
                  <w:rPr>
                    <w:rFonts w:ascii="Noto Naskh Arabic" w:hAnsi="Noto Naskh Arabic" w:cs="Noto Naskh Arabic" w:eastAsia="Noto Naskh Arabic"/>
                    <w:b w:val="0"/>
                    <w:sz w:val="17"/>
                  </w:rPr>
                  <w:t>[اكتب هنا]</w:t>
                </w:r>
              </w:sdtContent>
            </w:sdt>
          </w:p>
        </w:tc>
      </w:tr>
      <w:tr>
        <w:tc>
          <w:tcPr>
            <w:tcW w:type="dxa" w:w="5184"/>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val="0"/>
                <w:sz w:val="16"/>
              </w:rPr>
              <w:t>الحساسية وعدم التحمّل</w:t>
            </w:r>
          </w:p>
        </w:tc>
        <w:tc>
          <w:tcPr>
            <w:tcW w:type="dxa" w:w="5184"/>
            <w:vAlign w:val="center"/>
            <w:tcMar>
              <w:top w:w="80" w:type="dxa"/>
              <w:start w:w="90" w:type="dxa"/>
              <w:bottom w:w="80" w:type="dxa"/>
              <w:end w:w="90" w:type="dxa"/>
            </w:tcMar>
          </w:tcPr>
          <w:p>
            <w:pPr>
              <w:spacing w:after="0" w:before="0" w:line="240" w:lineRule="auto"/>
              <w:jc w:val="right"/>
              <w:bidi w:val="1"/>
            </w:pPr>
            <w:sdt>
              <w:sdtPr>
                <w:tag w:val="DKMH_04_F006"/>
                <w:alias w:val="DKMH_04_F006"/>
                <w:text/>
              </w:sdtPr>
              <w:sdtContent>
                <w:r>
                  <w:rPr>
                    <w:rFonts w:ascii="Noto Naskh Arabic" w:hAnsi="Noto Naskh Arabic" w:cs="Noto Naskh Arabic" w:eastAsia="Noto Naskh Arabic"/>
                    <w:b w:val="0"/>
                    <w:sz w:val="17"/>
                  </w:rPr>
                  <w:t>[اكتب هنا]</w:t>
                </w:r>
              </w:sdtContent>
            </w:sdt>
          </w:p>
        </w:tc>
      </w:tr>
      <w:tr>
        <w:tc>
          <w:tcPr>
            <w:tcW w:type="dxa" w:w="5184"/>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val="0"/>
                <w:sz w:val="16"/>
              </w:rPr>
              <w:t>المرافق عند الإحالة العاجلة</w:t>
            </w:r>
          </w:p>
        </w:tc>
        <w:tc>
          <w:tcPr>
            <w:tcW w:type="dxa" w:w="5184"/>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val="0"/>
                <w:sz w:val="16"/>
              </w:rPr>
              <w:t xml:space="preserve">الاسم/العلاقة/الهاتف: </w:t>
            </w:r>
            <w:sdt>
              <w:sdtPr>
                <w:tag w:val="DKMH_04_F007"/>
                <w:alias w:val="DKMH_04_F007"/>
                <w:text/>
              </w:sdtPr>
              <w:sdtContent>
                <w:r>
                  <w:rPr>
                    <w:rFonts w:ascii="Noto Naskh Arabic" w:hAnsi="Noto Naskh Arabic" w:cs="Noto Naskh Arabic" w:eastAsia="Noto Naskh Arabic"/>
                    <w:b w:val="0"/>
                    <w:sz w:val="17"/>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إلى</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666666"/>
                <w:sz w:val="16"/>
                <w:rtl w:val="1"/>
              </w:rPr>
              <w:t xml:space="preserve">اسم الطبيب/التخصص/المرفق: </w:t>
            </w:r>
            <w:sdt>
              <w:sdtPr>
                <w:tag w:val="DKMH_04_F008"/>
                <w:alias w:val="DKMH_04_F008"/>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من</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666666"/>
                <w:sz w:val="16"/>
                <w:rtl w:val="1"/>
              </w:rPr>
              <w:t xml:space="preserve">الاسم والصفة المهنية والجهة: </w:t>
            </w:r>
            <w:sdt>
              <w:sdtPr>
                <w:tag w:val="DKMH_04_F009"/>
                <w:alias w:val="DKMH_04_F009"/>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وسيلة التواصل المهني</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sdt>
              <w:sdtPr>
                <w:tag w:val="DKMH_04_F010"/>
                <w:alias w:val="DKMH_04_F010"/>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موافقة المراجع على المشاركة</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666666"/>
                <w:sz w:val="16"/>
                <w:rtl w:val="1"/>
              </w:rPr>
              <w:t>☐ نعم  ☐ تعذر أخذها بسبب الخطر/العجز  ☐ لا — اتُّبع الإطار القانوني المناسب</w:t>
            </w:r>
          </w:p>
        </w:tc>
      </w:tr>
    </w:tbl>
    <w:p>
      <w:pPr>
        <w:bidi w:val="1"/>
        <w:spacing w:after="40"/>
        <w:jc w:val="right"/>
      </w:pPr>
    </w:p>
    <w:p>
      <w:pPr>
        <w:pStyle w:val="FormLabel"/>
        <w:spacing w:after="40"/>
        <w:jc w:val="right"/>
        <w:bidi w:val="1"/>
      </w:pPr>
      <w:r>
        <w:rPr>
          <w:rFonts w:ascii="Noto Sans Arabic" w:hAnsi="Noto Sans Arabic" w:cs="Noto Sans Arabic" w:eastAsia="Noto Naskh Arabic"/>
          <w:sz w:val="19"/>
          <w:rtl w:val="1"/>
        </w:rPr>
        <w:t>سبب الإحالة والسؤال المحدد المطلوب من الطبيب</w:t>
      </w:r>
    </w:p>
    <w:tbl>
      <w:tblPr>
        <w:tblW w:type="auto" w:w="0"/>
        <w:jc w:val="center"/>
        <w:tblLayout w:type="autofit"/>
        <w:tblLook w:firstColumn="1" w:firstRow="1" w:lastColumn="0" w:lastRow="0" w:noHBand="0" w:noVBand="1" w:val="04A0"/>
      </w:tblPr>
      <w:tblGrid>
        <w:gridCol w:w="10368"/>
      </w:tblGrid>
      <w:tr>
        <w:trPr>
          <w:tblHeader w:val="true"/>
        </w:trPr>
        <w:tc>
          <w:tcPr>
            <w:tcW w:type="dxa" w:w="10368"/>
            <w:bidiVisual w:val="1"/>
            <w:vAlign w:val="center"/>
            <w:shd w:fill="D9E8E6"/>
            <w:tcBorders>
              <w:top w:val="single" w:sz="4" w:color="B9C7C2"/>
              <w:left w:val="single" w:sz="4" w:color="B9C7C2"/>
              <w:bottom w:val="single" w:sz="4" w:color="B9C7C2"/>
              <w:right w:val="single" w:sz="4" w:color="B9C7C2"/>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r>
          </w:p>
        </w:tc>
      </w:tr>
    </w:tbl>
    <w:p>
      <w:pPr>
        <w:bidi w:val="1"/>
        <w:spacing w:after="40"/>
        <w:jc w:val="right"/>
      </w:pPr>
    </w:p>
    <w:p>
      <w:pPr>
        <w:pStyle w:val="FormLabel"/>
        <w:spacing w:after="40"/>
        <w:jc w:val="right"/>
        <w:bidi w:val="1"/>
      </w:pPr>
      <w:r>
        <w:rPr>
          <w:rFonts w:ascii="Noto Sans Arabic" w:hAnsi="Noto Sans Arabic" w:cs="Noto Sans Arabic" w:eastAsia="Noto Naskh Arabic"/>
          <w:sz w:val="19"/>
          <w:rtl w:val="1"/>
        </w:rPr>
        <w:t>ملخص موجز للحالة ومسارها الزمني</w:t>
      </w:r>
    </w:p>
    <w:tbl>
      <w:tblPr>
        <w:tblW w:type="auto" w:w="0"/>
        <w:jc w:val="center"/>
        <w:tblLayout w:type="autofit"/>
        <w:tblLook w:firstColumn="1" w:firstRow="1" w:lastColumn="0" w:lastRow="0" w:noHBand="0" w:noVBand="1" w:val="04A0"/>
      </w:tblPr>
      <w:tblGrid>
        <w:gridCol w:w="10368"/>
      </w:tblGrid>
      <w:tr>
        <w:trPr>
          <w:tblHeader w:val="true"/>
        </w:trPr>
        <w:tc>
          <w:tcPr>
            <w:tcW w:type="dxa" w:w="10368"/>
            <w:bidiVisual w:val="1"/>
            <w:vAlign w:val="center"/>
            <w:shd w:fill="D9E8E6"/>
            <w:tcBorders>
              <w:top w:val="single" w:sz="4" w:color="B9C7C2"/>
              <w:left w:val="single" w:sz="4" w:color="B9C7C2"/>
              <w:bottom w:val="single" w:sz="4" w:color="B9C7C2"/>
              <w:right w:val="single" w:sz="4" w:color="B9C7C2"/>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r>
          </w:p>
        </w:tc>
      </w:tr>
    </w:tbl>
    <w:p>
      <w:pPr>
        <w:bidi w:val="1"/>
        <w:spacing w:after="40"/>
        <w:jc w:val="right"/>
      </w:pPr>
    </w:p>
    <w:p>
      <w:pPr>
        <w:pStyle w:val="Heading2"/>
        <w:spacing w:after="40"/>
        <w:jc w:val="right"/>
        <w:bidi w:val="1"/>
      </w:pPr>
      <w:r>
        <w:rPr>
          <w:rFonts w:ascii="Noto Sans Arabic" w:hAnsi="Noto Sans Arabic" w:cs="Noto Sans Arabic" w:eastAsia="Noto Sans Arabic"/>
          <w:sz w:val="26"/>
          <w:rtl w:val="1"/>
        </w:rPr>
        <w:t>المخاطر الحالية</w:t>
      </w:r>
    </w:p>
    <w:tbl>
      <w:tblPr>
        <w:tblW w:type="auto" w:w="0"/>
        <w:jc w:val="center"/>
        <w:tblLayout w:type="autofit"/>
        <w:tblLook w:firstColumn="1" w:firstRow="1" w:lastColumn="0" w:lastRow="0" w:noHBand="0" w:noVBand="1" w:val="04A0"/>
      </w:tblPr>
      <w:tblGrid>
        <w:gridCol w:w="2592"/>
        <w:gridCol w:w="2592"/>
        <w:gridCol w:w="2592"/>
        <w:gridCol w:w="2592"/>
      </w:tblGrid>
      <w:tr>
        <w:trPr>
          <w:tblHeader w:val="true"/>
        </w:trPr>
        <w:tc>
          <w:tcPr>
            <w:tcW w:type="dxa" w:w="2592"/>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Pr>
              <w:t>المجال</w:t>
            </w:r>
          </w:p>
        </w:tc>
        <w:tc>
          <w:tcPr>
            <w:tcW w:type="dxa" w:w="2015"/>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Pr>
              <w:t>المعلومات الحالية</w:t>
            </w:r>
          </w:p>
        </w:tc>
        <w:tc>
          <w:tcPr>
            <w:tcW w:type="dxa" w:w="3600"/>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Pr>
              <w:t>عوامل التصعيد والحماية</w:t>
            </w:r>
          </w:p>
        </w:tc>
        <w:tc>
          <w:tcPr>
            <w:tcW w:type="dxa" w:w="2304"/>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Pr>
              <w:t>الإجراء المتخذ</w:t>
            </w:r>
          </w:p>
        </w:tc>
      </w:tr>
      <w:tr>
        <w:trPr>
          <w:trHeight w:hRule="atLeast" w:val="518"/>
        </w:trPr>
        <w:tc>
          <w:tcPr>
            <w:tcW w:type="dxa" w:w="2592"/>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val="0"/>
                <w:sz w:val="16"/>
              </w:rPr>
              <w:t>إيذاء النفس/الانتحار</w:t>
            </w:r>
          </w:p>
        </w:tc>
        <w:tc>
          <w:tcPr>
            <w:tcW w:type="dxa" w:w="2015"/>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val="0"/>
                <w:sz w:val="16"/>
              </w:rPr>
              <w:t xml:space="preserve">الأفكار الحالية والنية والخطة والوصول إلى الوسيلة والسلوك/المحاولة الحديثة: </w:t>
            </w:r>
            <w:sdt>
              <w:sdtPr>
                <w:tag w:val="DKMH_04_F011"/>
                <w:alias w:val="DKMH_04_F011"/>
                <w:text/>
              </w:sdtPr>
              <w:sdtContent>
                <w:r>
                  <w:rPr>
                    <w:rFonts w:ascii="Noto Naskh Arabic" w:hAnsi="Noto Naskh Arabic" w:cs="Noto Naskh Arabic" w:eastAsia="Noto Naskh Arabic"/>
                    <w:b w:val="0"/>
                    <w:sz w:val="17"/>
                  </w:rPr>
                  <w:t>[اكتب هنا]</w:t>
                </w:r>
              </w:sdtContent>
            </w:sdt>
          </w:p>
        </w:tc>
        <w:tc>
          <w:tcPr>
            <w:tcW w:type="dxa" w:w="360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val="0"/>
                <w:sz w:val="16"/>
              </w:rPr>
              <w:t xml:space="preserve">عوامل التصعيد والدعم والحماية والقدرة على المشاركة في الأمان: </w:t>
            </w:r>
            <w:sdt>
              <w:sdtPr>
                <w:tag w:val="DKMH_04_F012"/>
                <w:alias w:val="DKMH_04_F012"/>
                <w:text/>
              </w:sdtPr>
              <w:sdtContent>
                <w:r>
                  <w:rPr>
                    <w:rFonts w:ascii="Noto Naskh Arabic" w:hAnsi="Noto Naskh Arabic" w:cs="Noto Naskh Arabic" w:eastAsia="Noto Naskh Arabic"/>
                    <w:b w:val="0"/>
                    <w:sz w:val="17"/>
                  </w:rPr>
                  <w:t>[اكتب هنا]</w:t>
                </w:r>
              </w:sdtContent>
            </w:sdt>
          </w:p>
        </w:tc>
        <w:tc>
          <w:tcPr>
            <w:tcW w:type="dxa" w:w="2304"/>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4_F013"/>
                <w:alias w:val="DKMH_04_F013"/>
                <w:text/>
              </w:sdtPr>
              <w:sdtContent>
                <w:r>
                  <w:rPr>
                    <w:rFonts w:ascii="Noto Naskh Arabic" w:hAnsi="Noto Naskh Arabic" w:cs="Noto Naskh Arabic" w:eastAsia="Noto Naskh Arabic"/>
                    <w:b w:val="0"/>
                    <w:sz w:val="17"/>
                  </w:rPr>
                  <w:t>[اكتب هنا]</w:t>
                </w:r>
              </w:sdtContent>
            </w:sdt>
          </w:p>
        </w:tc>
      </w:tr>
      <w:tr>
        <w:trPr>
          <w:trHeight w:hRule="atLeast" w:val="518"/>
        </w:trPr>
        <w:tc>
          <w:tcPr>
            <w:tcW w:type="dxa" w:w="2592"/>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val="0"/>
                <w:sz w:val="16"/>
              </w:rPr>
              <w:t>إيذاء الآخرين</w:t>
            </w:r>
          </w:p>
        </w:tc>
        <w:tc>
          <w:tcPr>
            <w:tcW w:type="dxa" w:w="2015"/>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val="0"/>
                <w:sz w:val="16"/>
              </w:rPr>
              <w:t xml:space="preserve">التهديد والنية والخطة والوسيلة والاندفاع أو فقد السيطرة: </w:t>
            </w:r>
            <w:sdt>
              <w:sdtPr>
                <w:tag w:val="DKMH_04_F014"/>
                <w:alias w:val="DKMH_04_F014"/>
                <w:text/>
              </w:sdtPr>
              <w:sdtContent>
                <w:r>
                  <w:rPr>
                    <w:rFonts w:ascii="Noto Naskh Arabic" w:hAnsi="Noto Naskh Arabic" w:cs="Noto Naskh Arabic" w:eastAsia="Noto Naskh Arabic"/>
                    <w:b w:val="0"/>
                    <w:sz w:val="17"/>
                  </w:rPr>
                  <w:t>[اكتب هنا]</w:t>
                </w:r>
              </w:sdtContent>
            </w:sdt>
          </w:p>
        </w:tc>
        <w:tc>
          <w:tcPr>
            <w:tcW w:type="dxa" w:w="3600"/>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val="0"/>
                <w:sz w:val="16"/>
              </w:rPr>
              <w:t xml:space="preserve">عوامل التصعيد والحماية: </w:t>
            </w:r>
            <w:sdt>
              <w:sdtPr>
                <w:tag w:val="DKMH_04_F015"/>
                <w:alias w:val="DKMH_04_F015"/>
                <w:text/>
              </w:sdtPr>
              <w:sdtContent>
                <w:r>
                  <w:rPr>
                    <w:rFonts w:ascii="Noto Naskh Arabic" w:hAnsi="Noto Naskh Arabic" w:cs="Noto Naskh Arabic" w:eastAsia="Noto Naskh Arabic"/>
                    <w:b w:val="0"/>
                    <w:sz w:val="17"/>
                  </w:rPr>
                  <w:t>[اكتب هنا]</w:t>
                </w:r>
              </w:sdtContent>
            </w:sdt>
          </w:p>
        </w:tc>
        <w:tc>
          <w:tcPr>
            <w:tcW w:type="dxa" w:w="2304"/>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4_F016"/>
                <w:alias w:val="DKMH_04_F016"/>
                <w:text/>
              </w:sdtPr>
              <w:sdtContent>
                <w:r>
                  <w:rPr>
                    <w:rFonts w:ascii="Noto Naskh Arabic" w:hAnsi="Noto Naskh Arabic" w:cs="Noto Naskh Arabic" w:eastAsia="Noto Naskh Arabic"/>
                    <w:b w:val="0"/>
                    <w:sz w:val="17"/>
                  </w:rPr>
                  <w:t>[اكتب هنا]</w:t>
                </w:r>
              </w:sdtContent>
            </w:sdt>
          </w:p>
        </w:tc>
      </w:tr>
      <w:tr>
        <w:trPr>
          <w:trHeight w:hRule="atLeast" w:val="518"/>
        </w:trPr>
        <w:tc>
          <w:tcPr>
            <w:tcW w:type="dxa" w:w="2592"/>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val="0"/>
                <w:sz w:val="16"/>
              </w:rPr>
              <w:t>ذهان/هياج/فقد السيطرة</w:t>
            </w:r>
          </w:p>
        </w:tc>
        <w:tc>
          <w:tcPr>
            <w:tcW w:type="dxa" w:w="2015"/>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4_F017"/>
                <w:alias w:val="DKMH_04_F017"/>
                <w:text/>
              </w:sdtPr>
              <w:sdtContent>
                <w:r>
                  <w:rPr>
                    <w:rFonts w:ascii="Noto Naskh Arabic" w:hAnsi="Noto Naskh Arabic" w:cs="Noto Naskh Arabic" w:eastAsia="Noto Naskh Arabic"/>
                    <w:b w:val="0"/>
                    <w:sz w:val="17"/>
                  </w:rPr>
                  <w:t>[اكتب هنا]</w:t>
                </w:r>
              </w:sdtContent>
            </w:sdt>
          </w:p>
        </w:tc>
        <w:tc>
          <w:tcPr>
            <w:tcW w:type="dxa" w:w="360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4_F018"/>
                <w:alias w:val="DKMH_04_F018"/>
                <w:text/>
              </w:sdtPr>
              <w:sdtContent>
                <w:r>
                  <w:rPr>
                    <w:rFonts w:ascii="Noto Naskh Arabic" w:hAnsi="Noto Naskh Arabic" w:cs="Noto Naskh Arabic" w:eastAsia="Noto Naskh Arabic"/>
                    <w:b w:val="0"/>
                    <w:sz w:val="17"/>
                  </w:rPr>
                  <w:t>[اكتب هنا]</w:t>
                </w:r>
              </w:sdtContent>
            </w:sdt>
          </w:p>
        </w:tc>
        <w:tc>
          <w:tcPr>
            <w:tcW w:type="dxa" w:w="2304"/>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4_F019"/>
                <w:alias w:val="DKMH_04_F019"/>
                <w:text/>
              </w:sdtPr>
              <w:sdtContent>
                <w:r>
                  <w:rPr>
                    <w:rFonts w:ascii="Noto Naskh Arabic" w:hAnsi="Noto Naskh Arabic" w:cs="Noto Naskh Arabic" w:eastAsia="Noto Naskh Arabic"/>
                    <w:b w:val="0"/>
                    <w:sz w:val="17"/>
                  </w:rPr>
                  <w:t>[اكتب هنا]</w:t>
                </w:r>
              </w:sdtContent>
            </w:sdt>
          </w:p>
        </w:tc>
      </w:tr>
      <w:tr>
        <w:trPr>
          <w:trHeight w:hRule="atLeast" w:val="518"/>
        </w:trPr>
        <w:tc>
          <w:tcPr>
            <w:tcW w:type="dxa" w:w="2592"/>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val="0"/>
                <w:sz w:val="16"/>
              </w:rPr>
              <w:t>الرعاية الذاتية/الحماية</w:t>
            </w:r>
          </w:p>
        </w:tc>
        <w:tc>
          <w:tcPr>
            <w:tcW w:type="dxa" w:w="2015"/>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val="0"/>
                <w:sz w:val="16"/>
              </w:rPr>
              <w:t xml:space="preserve">الأكل والشرب والضعف والاستغلال والعنف أو الإهمال: </w:t>
            </w:r>
            <w:sdt>
              <w:sdtPr>
                <w:tag w:val="DKMH_04_F020"/>
                <w:alias w:val="DKMH_04_F020"/>
                <w:text/>
              </w:sdtPr>
              <w:sdtContent>
                <w:r>
                  <w:rPr>
                    <w:rFonts w:ascii="Noto Naskh Arabic" w:hAnsi="Noto Naskh Arabic" w:cs="Noto Naskh Arabic" w:eastAsia="Noto Naskh Arabic"/>
                    <w:b w:val="0"/>
                    <w:sz w:val="17"/>
                  </w:rPr>
                  <w:t>[اكتب هنا]</w:t>
                </w:r>
              </w:sdtContent>
            </w:sdt>
          </w:p>
        </w:tc>
        <w:tc>
          <w:tcPr>
            <w:tcW w:type="dxa" w:w="3600"/>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4_F021"/>
                <w:alias w:val="DKMH_04_F021"/>
                <w:text/>
              </w:sdtPr>
              <w:sdtContent>
                <w:r>
                  <w:rPr>
                    <w:rFonts w:ascii="Noto Naskh Arabic" w:hAnsi="Noto Naskh Arabic" w:cs="Noto Naskh Arabic" w:eastAsia="Noto Naskh Arabic"/>
                    <w:b w:val="0"/>
                    <w:sz w:val="17"/>
                  </w:rPr>
                  <w:t>[اكتب هنا]</w:t>
                </w:r>
              </w:sdtContent>
            </w:sdt>
          </w:p>
        </w:tc>
        <w:tc>
          <w:tcPr>
            <w:tcW w:type="dxa" w:w="2304"/>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4_F022"/>
                <w:alias w:val="DKMH_04_F022"/>
                <w:text/>
              </w:sdtPr>
              <w:sdtContent>
                <w:r>
                  <w:rPr>
                    <w:rFonts w:ascii="Noto Naskh Arabic" w:hAnsi="Noto Naskh Arabic" w:cs="Noto Naskh Arabic" w:eastAsia="Noto Naskh Arabic"/>
                    <w:b w:val="0"/>
                    <w:sz w:val="17"/>
                  </w:rPr>
                  <w:t>[اكتب هنا]</w:t>
                </w:r>
              </w:sdtContent>
            </w:sdt>
          </w:p>
        </w:tc>
      </w:tr>
      <w:tr>
        <w:trPr>
          <w:trHeight w:hRule="atLeast" w:val="518"/>
        </w:trPr>
        <w:tc>
          <w:tcPr>
            <w:tcW w:type="dxa" w:w="2592"/>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val="0"/>
                <w:sz w:val="16"/>
              </w:rPr>
              <w:t>تسمم/انسحاب/جرعة زائدة</w:t>
            </w:r>
          </w:p>
        </w:tc>
        <w:tc>
          <w:tcPr>
            <w:tcW w:type="dxa" w:w="2015"/>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4_F023"/>
                <w:alias w:val="DKMH_04_F023"/>
                <w:text/>
              </w:sdtPr>
              <w:sdtContent>
                <w:r>
                  <w:rPr>
                    <w:rFonts w:ascii="Noto Naskh Arabic" w:hAnsi="Noto Naskh Arabic" w:cs="Noto Naskh Arabic" w:eastAsia="Noto Naskh Arabic"/>
                    <w:b w:val="0"/>
                    <w:sz w:val="17"/>
                  </w:rPr>
                  <w:t>[اكتب هنا]</w:t>
                </w:r>
              </w:sdtContent>
            </w:sdt>
          </w:p>
        </w:tc>
        <w:tc>
          <w:tcPr>
            <w:tcW w:type="dxa" w:w="360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4_F024"/>
                <w:alias w:val="DKMH_04_F024"/>
                <w:text/>
              </w:sdtPr>
              <w:sdtContent>
                <w:r>
                  <w:rPr>
                    <w:rFonts w:ascii="Noto Naskh Arabic" w:hAnsi="Noto Naskh Arabic" w:cs="Noto Naskh Arabic" w:eastAsia="Noto Naskh Arabic"/>
                    <w:b w:val="0"/>
                    <w:sz w:val="17"/>
                  </w:rPr>
                  <w:t>[اكتب هنا]</w:t>
                </w:r>
              </w:sdtContent>
            </w:sdt>
          </w:p>
        </w:tc>
        <w:tc>
          <w:tcPr>
            <w:tcW w:type="dxa" w:w="2304"/>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4_F025"/>
                <w:alias w:val="DKMH_04_F025"/>
                <w:text/>
              </w:sdtPr>
              <w:sdtContent>
                <w:r>
                  <w:rPr>
                    <w:rFonts w:ascii="Noto Naskh Arabic" w:hAnsi="Noto Naskh Arabic" w:cs="Noto Naskh Arabic" w:eastAsia="Noto Naskh Arabic"/>
                    <w:b w:val="0"/>
                    <w:sz w:val="17"/>
                  </w:rPr>
                  <w:t>[اكتب هنا]</w:t>
                </w:r>
              </w:sdtContent>
            </w:sdt>
          </w:p>
        </w:tc>
      </w:tr>
    </w:tbl>
    <w:p>
      <w:pPr>
        <w:bidi w:val="1"/>
        <w:spacing w:after="40"/>
        <w:jc w:val="right"/>
      </w:pPr>
    </w:p>
    <w:p>
      <w:pPr>
        <w:pStyle w:val="Heading2"/>
        <w:spacing w:after="40"/>
        <w:jc w:val="right"/>
        <w:bidi w:val="1"/>
      </w:pPr>
      <w:r>
        <w:rPr>
          <w:rFonts w:ascii="Noto Sans Arabic" w:hAnsi="Noto Sans Arabic" w:cs="Noto Sans Arabic" w:eastAsia="Noto Sans Arabic"/>
          <w:sz w:val="26"/>
          <w:rtl w:val="1"/>
        </w:rPr>
        <w:t>الأدوية والمعلومات الطبية ذات الصلة</w:t>
      </w:r>
    </w:p>
    <w:tbl>
      <w:tblPr>
        <w:tblW w:type="auto" w:w="0"/>
        <w:jc w:val="center"/>
        <w:tblLayout w:type="autofit"/>
        <w:tblLook w:firstColumn="1" w:firstRow="1" w:lastColumn="0" w:lastRow="0" w:noHBand="0" w:noVBand="1" w:val="04A0"/>
      </w:tblPr>
      <w:tblGrid>
        <w:gridCol w:w="1728"/>
        <w:gridCol w:w="1728"/>
        <w:gridCol w:w="1728"/>
        <w:gridCol w:w="1728"/>
        <w:gridCol w:w="1728"/>
        <w:gridCol w:w="1728"/>
      </w:tblGrid>
      <w:tr>
        <w:trPr>
          <w:tblHeader w:val="true"/>
        </w:trPr>
        <w:tc>
          <w:tcPr>
            <w:tcW w:type="dxa" w:w="2232"/>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الدواء والجرعة</w:t>
            </w:r>
          </w:p>
        </w:tc>
        <w:tc>
          <w:tcPr>
            <w:tcW w:type="dxa" w:w="1296"/>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المدة</w:t>
            </w:r>
          </w:p>
        </w:tc>
        <w:tc>
          <w:tcPr>
            <w:tcW w:type="dxa" w:w="1800"/>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الاستجابة</w:t>
            </w:r>
          </w:p>
        </w:tc>
        <w:tc>
          <w:tcPr>
            <w:tcW w:type="dxa" w:w="1944"/>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الآثار الجانبية</w:t>
            </w:r>
          </w:p>
        </w:tc>
        <w:tc>
          <w:tcPr>
            <w:tcW w:type="dxa" w:w="1584"/>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الالتزام</w:t>
            </w:r>
          </w:p>
        </w:tc>
        <w:tc>
          <w:tcPr>
            <w:tcW w:type="dxa" w:w="1728"/>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آخر جرعة/تغيير</w:t>
            </w:r>
          </w:p>
        </w:tc>
      </w:tr>
      <w:tr>
        <w:trPr>
          <w:trHeight w:hRule="atLeast" w:val="518"/>
        </w:trPr>
        <w:tc>
          <w:tcPr>
            <w:tcW w:type="dxa" w:w="2232"/>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4_F026"/>
                <w:alias w:val="DKMH_04_F026"/>
                <w:text/>
              </w:sdtPr>
              <w:sdtContent>
                <w:r>
                  <w:rPr>
                    <w:rFonts w:ascii="Noto Naskh Arabic" w:hAnsi="Noto Naskh Arabic" w:cs="Noto Naskh Arabic" w:eastAsia="Noto Naskh Arabic"/>
                    <w:color w:val="333333"/>
                    <w:sz w:val="17"/>
                    <w:rtl w:val="1"/>
                  </w:rPr>
                  <w:t>[اكتب هنا]</w:t>
                </w:r>
              </w:sdtContent>
            </w:sdt>
          </w:p>
        </w:tc>
        <w:tc>
          <w:tcPr>
            <w:tcW w:type="dxa" w:w="1296"/>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4_F027"/>
                <w:alias w:val="DKMH_04_F027"/>
                <w:text/>
              </w:sdtPr>
              <w:sdtContent>
                <w:r>
                  <w:rPr>
                    <w:rFonts w:ascii="Noto Naskh Arabic" w:hAnsi="Noto Naskh Arabic" w:cs="Noto Naskh Arabic" w:eastAsia="Noto Naskh Arabic"/>
                    <w:color w:val="333333"/>
                    <w:sz w:val="17"/>
                    <w:rtl w:val="1"/>
                  </w:rPr>
                  <w:t>[اكتب هنا]</w:t>
                </w:r>
              </w:sdtContent>
            </w:sdt>
          </w:p>
        </w:tc>
        <w:tc>
          <w:tcPr>
            <w:tcW w:type="dxa" w:w="180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4_F028"/>
                <w:alias w:val="DKMH_04_F028"/>
                <w:text/>
              </w:sdtPr>
              <w:sdtContent>
                <w:r>
                  <w:rPr>
                    <w:rFonts w:ascii="Noto Naskh Arabic" w:hAnsi="Noto Naskh Arabic" w:cs="Noto Naskh Arabic" w:eastAsia="Noto Naskh Arabic"/>
                    <w:color w:val="333333"/>
                    <w:sz w:val="17"/>
                    <w:rtl w:val="1"/>
                  </w:rPr>
                  <w:t>[اكتب هنا]</w:t>
                </w:r>
              </w:sdtContent>
            </w:sdt>
          </w:p>
        </w:tc>
        <w:tc>
          <w:tcPr>
            <w:tcW w:type="dxa" w:w="1944"/>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4_F029"/>
                <w:alias w:val="DKMH_04_F029"/>
                <w:text/>
              </w:sdtPr>
              <w:sdtContent>
                <w:r>
                  <w:rPr>
                    <w:rFonts w:ascii="Noto Naskh Arabic" w:hAnsi="Noto Naskh Arabic" w:cs="Noto Naskh Arabic" w:eastAsia="Noto Naskh Arabic"/>
                    <w:color w:val="333333"/>
                    <w:sz w:val="17"/>
                    <w:rtl w:val="1"/>
                  </w:rPr>
                  <w:t>[اكتب هنا]</w:t>
                </w:r>
              </w:sdtContent>
            </w:sdt>
          </w:p>
        </w:tc>
        <w:tc>
          <w:tcPr>
            <w:tcW w:type="dxa" w:w="1584"/>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4_F030"/>
                <w:alias w:val="DKMH_04_F030"/>
                <w:text/>
              </w:sdtPr>
              <w:sdtContent>
                <w:r>
                  <w:rPr>
                    <w:rFonts w:ascii="Noto Naskh Arabic" w:hAnsi="Noto Naskh Arabic" w:cs="Noto Naskh Arabic" w:eastAsia="Noto Naskh Arabic"/>
                    <w:color w:val="333333"/>
                    <w:sz w:val="17"/>
                    <w:rtl w:val="1"/>
                  </w:rPr>
                  <w:t>[اكتب هنا]</w:t>
                </w:r>
              </w:sdtContent>
            </w:sdt>
          </w:p>
        </w:tc>
        <w:tc>
          <w:tcPr>
            <w:tcW w:type="dxa" w:w="1728"/>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4_F031"/>
                <w:alias w:val="DKMH_04_F031"/>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232"/>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4_F032"/>
                <w:alias w:val="DKMH_04_F032"/>
                <w:text/>
              </w:sdtPr>
              <w:sdtContent>
                <w:r>
                  <w:rPr>
                    <w:rFonts w:ascii="Noto Naskh Arabic" w:hAnsi="Noto Naskh Arabic" w:cs="Noto Naskh Arabic" w:eastAsia="Noto Naskh Arabic"/>
                    <w:color w:val="333333"/>
                    <w:sz w:val="17"/>
                    <w:rtl w:val="1"/>
                  </w:rPr>
                  <w:t>[اكتب هنا]</w:t>
                </w:r>
              </w:sdtContent>
            </w:sdt>
          </w:p>
        </w:tc>
        <w:tc>
          <w:tcPr>
            <w:tcW w:type="dxa" w:w="1296"/>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4_F033"/>
                <w:alias w:val="DKMH_04_F033"/>
                <w:text/>
              </w:sdtPr>
              <w:sdtContent>
                <w:r>
                  <w:rPr>
                    <w:rFonts w:ascii="Noto Naskh Arabic" w:hAnsi="Noto Naskh Arabic" w:cs="Noto Naskh Arabic" w:eastAsia="Noto Naskh Arabic"/>
                    <w:color w:val="333333"/>
                    <w:sz w:val="17"/>
                    <w:rtl w:val="1"/>
                  </w:rPr>
                  <w:t>[اكتب هنا]</w:t>
                </w:r>
              </w:sdtContent>
            </w:sdt>
          </w:p>
        </w:tc>
        <w:tc>
          <w:tcPr>
            <w:tcW w:type="dxa" w:w="1800"/>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4_F034"/>
                <w:alias w:val="DKMH_04_F034"/>
                <w:text/>
              </w:sdtPr>
              <w:sdtContent>
                <w:r>
                  <w:rPr>
                    <w:rFonts w:ascii="Noto Naskh Arabic" w:hAnsi="Noto Naskh Arabic" w:cs="Noto Naskh Arabic" w:eastAsia="Noto Naskh Arabic"/>
                    <w:color w:val="333333"/>
                    <w:sz w:val="17"/>
                    <w:rtl w:val="1"/>
                  </w:rPr>
                  <w:t>[اكتب هنا]</w:t>
                </w:r>
              </w:sdtContent>
            </w:sdt>
          </w:p>
        </w:tc>
        <w:tc>
          <w:tcPr>
            <w:tcW w:type="dxa" w:w="1944"/>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4_F035"/>
                <w:alias w:val="DKMH_04_F035"/>
                <w:text/>
              </w:sdtPr>
              <w:sdtContent>
                <w:r>
                  <w:rPr>
                    <w:rFonts w:ascii="Noto Naskh Arabic" w:hAnsi="Noto Naskh Arabic" w:cs="Noto Naskh Arabic" w:eastAsia="Noto Naskh Arabic"/>
                    <w:color w:val="333333"/>
                    <w:sz w:val="17"/>
                    <w:rtl w:val="1"/>
                  </w:rPr>
                  <w:t>[اكتب هنا]</w:t>
                </w:r>
              </w:sdtContent>
            </w:sdt>
          </w:p>
        </w:tc>
        <w:tc>
          <w:tcPr>
            <w:tcW w:type="dxa" w:w="1584"/>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4_F036"/>
                <w:alias w:val="DKMH_04_F036"/>
                <w:text/>
              </w:sdtPr>
              <w:sdtContent>
                <w:r>
                  <w:rPr>
                    <w:rFonts w:ascii="Noto Naskh Arabic" w:hAnsi="Noto Naskh Arabic" w:cs="Noto Naskh Arabic" w:eastAsia="Noto Naskh Arabic"/>
                    <w:color w:val="333333"/>
                    <w:sz w:val="17"/>
                    <w:rtl w:val="1"/>
                  </w:rPr>
                  <w:t>[اكتب هنا]</w:t>
                </w:r>
              </w:sdtContent>
            </w:sdt>
          </w:p>
        </w:tc>
        <w:tc>
          <w:tcPr>
            <w:tcW w:type="dxa" w:w="1728"/>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4_F037"/>
                <w:alias w:val="DKMH_04_F037"/>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232"/>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4_F038"/>
                <w:alias w:val="DKMH_04_F038"/>
                <w:text/>
              </w:sdtPr>
              <w:sdtContent>
                <w:r>
                  <w:rPr>
                    <w:rFonts w:ascii="Noto Naskh Arabic" w:hAnsi="Noto Naskh Arabic" w:cs="Noto Naskh Arabic" w:eastAsia="Noto Naskh Arabic"/>
                    <w:color w:val="333333"/>
                    <w:sz w:val="17"/>
                    <w:rtl w:val="1"/>
                  </w:rPr>
                  <w:t>[اكتب هنا]</w:t>
                </w:r>
              </w:sdtContent>
            </w:sdt>
          </w:p>
        </w:tc>
        <w:tc>
          <w:tcPr>
            <w:tcW w:type="dxa" w:w="1296"/>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4_F039"/>
                <w:alias w:val="DKMH_04_F039"/>
                <w:text/>
              </w:sdtPr>
              <w:sdtContent>
                <w:r>
                  <w:rPr>
                    <w:rFonts w:ascii="Noto Naskh Arabic" w:hAnsi="Noto Naskh Arabic" w:cs="Noto Naskh Arabic" w:eastAsia="Noto Naskh Arabic"/>
                    <w:color w:val="333333"/>
                    <w:sz w:val="17"/>
                    <w:rtl w:val="1"/>
                  </w:rPr>
                  <w:t>[اكتب هنا]</w:t>
                </w:r>
              </w:sdtContent>
            </w:sdt>
          </w:p>
        </w:tc>
        <w:tc>
          <w:tcPr>
            <w:tcW w:type="dxa" w:w="180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4_F040"/>
                <w:alias w:val="DKMH_04_F040"/>
                <w:text/>
              </w:sdtPr>
              <w:sdtContent>
                <w:r>
                  <w:rPr>
                    <w:rFonts w:ascii="Noto Naskh Arabic" w:hAnsi="Noto Naskh Arabic" w:cs="Noto Naskh Arabic" w:eastAsia="Noto Naskh Arabic"/>
                    <w:color w:val="333333"/>
                    <w:sz w:val="17"/>
                    <w:rtl w:val="1"/>
                  </w:rPr>
                  <w:t>[اكتب هنا]</w:t>
                </w:r>
              </w:sdtContent>
            </w:sdt>
          </w:p>
        </w:tc>
        <w:tc>
          <w:tcPr>
            <w:tcW w:type="dxa" w:w="1944"/>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4_F041"/>
                <w:alias w:val="DKMH_04_F041"/>
                <w:text/>
              </w:sdtPr>
              <w:sdtContent>
                <w:r>
                  <w:rPr>
                    <w:rFonts w:ascii="Noto Naskh Arabic" w:hAnsi="Noto Naskh Arabic" w:cs="Noto Naskh Arabic" w:eastAsia="Noto Naskh Arabic"/>
                    <w:color w:val="333333"/>
                    <w:sz w:val="17"/>
                    <w:rtl w:val="1"/>
                  </w:rPr>
                  <w:t>[اكتب هنا]</w:t>
                </w:r>
              </w:sdtContent>
            </w:sdt>
          </w:p>
        </w:tc>
        <w:tc>
          <w:tcPr>
            <w:tcW w:type="dxa" w:w="1584"/>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4_F042"/>
                <w:alias w:val="DKMH_04_F042"/>
                <w:text/>
              </w:sdtPr>
              <w:sdtContent>
                <w:r>
                  <w:rPr>
                    <w:rFonts w:ascii="Noto Naskh Arabic" w:hAnsi="Noto Naskh Arabic" w:cs="Noto Naskh Arabic" w:eastAsia="Noto Naskh Arabic"/>
                    <w:color w:val="333333"/>
                    <w:sz w:val="17"/>
                    <w:rtl w:val="1"/>
                  </w:rPr>
                  <w:t>[اكتب هنا]</w:t>
                </w:r>
              </w:sdtContent>
            </w:sdt>
          </w:p>
        </w:tc>
        <w:tc>
          <w:tcPr>
            <w:tcW w:type="dxa" w:w="1728"/>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4_F043"/>
                <w:alias w:val="DKMH_04_F043"/>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232"/>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4_F044"/>
                <w:alias w:val="DKMH_04_F044"/>
                <w:text/>
              </w:sdtPr>
              <w:sdtContent>
                <w:r>
                  <w:rPr>
                    <w:rFonts w:ascii="Noto Naskh Arabic" w:hAnsi="Noto Naskh Arabic" w:cs="Noto Naskh Arabic" w:eastAsia="Noto Naskh Arabic"/>
                    <w:color w:val="333333"/>
                    <w:sz w:val="17"/>
                    <w:rtl w:val="1"/>
                  </w:rPr>
                  <w:t>[اكتب هنا]</w:t>
                </w:r>
              </w:sdtContent>
            </w:sdt>
          </w:p>
        </w:tc>
        <w:tc>
          <w:tcPr>
            <w:tcW w:type="dxa" w:w="1296"/>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4_F045"/>
                <w:alias w:val="DKMH_04_F045"/>
                <w:text/>
              </w:sdtPr>
              <w:sdtContent>
                <w:r>
                  <w:rPr>
                    <w:rFonts w:ascii="Noto Naskh Arabic" w:hAnsi="Noto Naskh Arabic" w:cs="Noto Naskh Arabic" w:eastAsia="Noto Naskh Arabic"/>
                    <w:color w:val="333333"/>
                    <w:sz w:val="17"/>
                    <w:rtl w:val="1"/>
                  </w:rPr>
                  <w:t>[اكتب هنا]</w:t>
                </w:r>
              </w:sdtContent>
            </w:sdt>
          </w:p>
        </w:tc>
        <w:tc>
          <w:tcPr>
            <w:tcW w:type="dxa" w:w="1800"/>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4_F046"/>
                <w:alias w:val="DKMH_04_F046"/>
                <w:text/>
              </w:sdtPr>
              <w:sdtContent>
                <w:r>
                  <w:rPr>
                    <w:rFonts w:ascii="Noto Naskh Arabic" w:hAnsi="Noto Naskh Arabic" w:cs="Noto Naskh Arabic" w:eastAsia="Noto Naskh Arabic"/>
                    <w:color w:val="333333"/>
                    <w:sz w:val="17"/>
                    <w:rtl w:val="1"/>
                  </w:rPr>
                  <w:t>[اكتب هنا]</w:t>
                </w:r>
              </w:sdtContent>
            </w:sdt>
          </w:p>
        </w:tc>
        <w:tc>
          <w:tcPr>
            <w:tcW w:type="dxa" w:w="1944"/>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4_F047"/>
                <w:alias w:val="DKMH_04_F047"/>
                <w:text/>
              </w:sdtPr>
              <w:sdtContent>
                <w:r>
                  <w:rPr>
                    <w:rFonts w:ascii="Noto Naskh Arabic" w:hAnsi="Noto Naskh Arabic" w:cs="Noto Naskh Arabic" w:eastAsia="Noto Naskh Arabic"/>
                    <w:color w:val="333333"/>
                    <w:sz w:val="17"/>
                    <w:rtl w:val="1"/>
                  </w:rPr>
                  <w:t>[اكتب هنا]</w:t>
                </w:r>
              </w:sdtContent>
            </w:sdt>
          </w:p>
        </w:tc>
        <w:tc>
          <w:tcPr>
            <w:tcW w:type="dxa" w:w="1584"/>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4_F048"/>
                <w:alias w:val="DKMH_04_F048"/>
                <w:text/>
              </w:sdtPr>
              <w:sdtContent>
                <w:r>
                  <w:rPr>
                    <w:rFonts w:ascii="Noto Naskh Arabic" w:hAnsi="Noto Naskh Arabic" w:cs="Noto Naskh Arabic" w:eastAsia="Noto Naskh Arabic"/>
                    <w:color w:val="333333"/>
                    <w:sz w:val="17"/>
                    <w:rtl w:val="1"/>
                  </w:rPr>
                  <w:t>[اكتب هنا]</w:t>
                </w:r>
              </w:sdtContent>
            </w:sdt>
          </w:p>
        </w:tc>
        <w:tc>
          <w:tcPr>
            <w:tcW w:type="dxa" w:w="1728"/>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4_F049"/>
                <w:alias w:val="DKMH_04_F049"/>
                <w:text/>
              </w:sdtPr>
              <w:sdtContent>
                <w:r>
                  <w:rPr>
                    <w:rFonts w:ascii="Noto Naskh Arabic" w:hAnsi="Noto Naskh Arabic" w:cs="Noto Naskh Arabic" w:eastAsia="Noto Naskh Arabic"/>
                    <w:color w:val="333333"/>
                    <w:sz w:val="17"/>
                    <w:rtl w:val="1"/>
                  </w:rPr>
                  <w:t>[اكتب هنا]</w:t>
                </w:r>
              </w:sdtContent>
            </w:sdt>
          </w:p>
        </w:tc>
      </w:tr>
    </w:tbl>
    <w:p>
      <w:pPr>
        <w:bidi w:val="1"/>
        <w:spacing w:after="40"/>
        <w:jc w:val="right"/>
      </w:pPr>
    </w:p>
    <w:p>
      <w:pPr>
        <w:pStyle w:val="FormLabel"/>
        <w:spacing w:after="40"/>
        <w:jc w:val="right"/>
        <w:bidi w:val="1"/>
      </w:pPr>
      <w:r>
        <w:rPr>
          <w:rFonts w:ascii="Noto Sans Arabic" w:hAnsi="Noto Sans Arabic" w:cs="Noto Sans Arabic" w:eastAsia="Noto Naskh Arabic"/>
          <w:sz w:val="19"/>
          <w:rtl w:val="1"/>
        </w:rPr>
        <w:t>الأمراض العضوية والحساسية والفحوصات والنتائج المتاحة</w:t>
      </w:r>
    </w:p>
    <w:tbl>
      <w:tblPr>
        <w:tblW w:type="auto" w:w="0"/>
        <w:jc w:val="center"/>
        <w:tblLayout w:type="autofit"/>
        <w:tblLook w:firstColumn="1" w:firstRow="1" w:lastColumn="0" w:lastRow="0" w:noHBand="0" w:noVBand="1" w:val="04A0"/>
      </w:tblPr>
      <w:tblGrid>
        <w:gridCol w:w="10368"/>
      </w:tblGrid>
      <w:tr>
        <w:trPr>
          <w:tblHeader w:val="true"/>
        </w:trPr>
        <w:tc>
          <w:tcPr>
            <w:tcW w:type="dxa" w:w="10368"/>
            <w:bidiVisual w:val="1"/>
            <w:vAlign w:val="center"/>
            <w:shd w:fill="D9E8E6"/>
            <w:tcBorders>
              <w:top w:val="single" w:sz="4" w:color="B9C7C2"/>
              <w:left w:val="single" w:sz="4" w:color="B9C7C2"/>
              <w:bottom w:val="single" w:sz="4" w:color="B9C7C2"/>
              <w:right w:val="single" w:sz="4" w:color="B9C7C2"/>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r>
          </w:p>
        </w:tc>
      </w:tr>
    </w:tbl>
    <w:p>
      <w:pPr>
        <w:bidi w:val="1"/>
        <w:spacing w:after="40"/>
        <w:jc w:val="right"/>
      </w:pPr>
    </w:p>
    <w:p>
      <w:pPr>
        <w:pStyle w:val="FormLabel"/>
        <w:spacing w:after="40"/>
        <w:jc w:val="right"/>
        <w:bidi w:val="1"/>
      </w:pPr>
      <w:r>
        <w:rPr>
          <w:rFonts w:ascii="Noto Sans Arabic" w:hAnsi="Noto Sans Arabic" w:cs="Noto Sans Arabic" w:eastAsia="Noto Naskh Arabic"/>
          <w:sz w:val="19"/>
          <w:rtl w:val="1"/>
        </w:rPr>
        <w:t>الانطباع السريري والتشخيصات التفريقية مع درجة اليقين</w:t>
      </w:r>
    </w:p>
    <w:tbl>
      <w:tblPr>
        <w:tblW w:type="auto" w:w="0"/>
        <w:jc w:val="center"/>
        <w:tblLayout w:type="autofit"/>
        <w:tblLook w:firstColumn="1" w:firstRow="1" w:lastColumn="0" w:lastRow="0" w:noHBand="0" w:noVBand="1" w:val="04A0"/>
      </w:tblPr>
      <w:tblGrid>
        <w:gridCol w:w="10368"/>
      </w:tblGrid>
      <w:tr>
        <w:trPr>
          <w:tblHeader w:val="true"/>
        </w:trPr>
        <w:tc>
          <w:tcPr>
            <w:tcW w:type="dxa" w:w="10368"/>
            <w:bidiVisual w:val="1"/>
            <w:vAlign w:val="center"/>
            <w:shd w:fill="D9E8E6"/>
            <w:tcBorders>
              <w:top w:val="single" w:sz="4" w:color="B9C7C2"/>
              <w:left w:val="single" w:sz="4" w:color="B9C7C2"/>
              <w:bottom w:val="single" w:sz="4" w:color="B9C7C2"/>
              <w:right w:val="single" w:sz="4" w:color="B9C7C2"/>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r>
          </w:p>
        </w:tc>
      </w:tr>
    </w:tbl>
    <w:p>
      <w:pPr>
        <w:bidi w:val="1"/>
        <w:spacing w:after="40"/>
        <w:jc w:val="right"/>
      </w:pPr>
    </w:p>
    <w:p>
      <w:pPr>
        <w:pStyle w:val="Heading2"/>
        <w:spacing w:after="40"/>
        <w:jc w:val="right"/>
        <w:bidi w:val="1"/>
      </w:pPr>
      <w:r>
        <w:rPr>
          <w:rFonts w:ascii="Noto Sans Arabic" w:hAnsi="Noto Sans Arabic" w:cs="Noto Sans Arabic" w:eastAsia="Noto Sans Arabic"/>
          <w:sz w:val="26"/>
          <w:rtl w:val="1"/>
        </w:rPr>
        <w:t>المطلوب وخطة الاستمرارية</w:t>
      </w:r>
    </w:p>
    <w:p>
      <w:pPr>
        <w:spacing w:after="40"/>
        <w:ind w:left="72" w:hanging="72"/>
        <w:jc w:val="right"/>
        <w:bidi w:val="1"/>
      </w:pPr>
      <w:r>
        <w:rPr>
          <w:rFonts w:ascii="Noto Sans Arabic" w:hAnsi="Noto Sans Arabic" w:cs="Noto Sans Arabic" w:eastAsia="Noto Naskh Arabic"/>
          <w:sz w:val="21"/>
          <w:rtl w:val="1"/>
        </w:rPr>
        <w:t>•  ☐ تقييم طبي/نفسي عاجل  ☐ مراجعة دوائية  ☐ فحوصات  ☐ تقييم عصبي/باطني  ☐ إدخال/ملاحظة  ☐ رأي تخصصي آخر</w:t>
      </w:r>
    </w:p>
    <w:p>
      <w:pPr>
        <w:spacing w:after="40"/>
        <w:ind w:left="72" w:hanging="72"/>
        <w:jc w:val="right"/>
        <w:bidi w:val="1"/>
      </w:pPr>
      <w:r>
        <w:rPr>
          <w:rFonts w:ascii="Noto Sans Arabic" w:hAnsi="Noto Sans Arabic" w:cs="Noto Sans Arabic" w:eastAsia="Noto Naskh Arabic"/>
          <w:sz w:val="21"/>
          <w:rtl w:val="1"/>
        </w:rPr>
        <w:t>•  بعد الإحالة: ☐ تستمر المتابعة بالتوازي  ☐ تنتقل الرعاية مؤقتاً  ☐ تنتقل الرعاية بالكامل  ☐ يحدد بعد التقييم</w:t>
      </w:r>
    </w:p>
    <w:p>
      <w:pPr>
        <w:pStyle w:val="FormLabel"/>
        <w:spacing w:after="40"/>
        <w:jc w:val="right"/>
        <w:bidi w:val="1"/>
      </w:pPr>
      <w:r>
        <w:rPr>
          <w:rFonts w:ascii="Noto Sans Arabic" w:hAnsi="Noto Sans Arabic" w:cs="Noto Sans Arabic" w:eastAsia="Noto Naskh Arabic"/>
          <w:sz w:val="19"/>
          <w:rtl w:val="1"/>
        </w:rPr>
        <w:t>تعليمات أو معلومات إضافية للطبيب المحال إليه</w:t>
      </w:r>
    </w:p>
    <w:tbl>
      <w:tblPr>
        <w:tblW w:type="auto" w:w="0"/>
        <w:jc w:val="center"/>
        <w:tblLayout w:type="autofit"/>
        <w:tblLook w:firstColumn="1" w:firstRow="1" w:lastColumn="0" w:lastRow="0" w:noHBand="0" w:noVBand="1" w:val="04A0"/>
      </w:tblPr>
      <w:tblGrid>
        <w:gridCol w:w="10368"/>
      </w:tblGrid>
      <w:tr>
        <w:trPr>
          <w:tblHeader w:val="true"/>
        </w:trPr>
        <w:tc>
          <w:tcPr>
            <w:tcW w:type="dxa" w:w="10368"/>
            <w:bidiVisual w:val="1"/>
            <w:vAlign w:val="center"/>
            <w:shd w:fill="D9E8E6"/>
            <w:tcBorders>
              <w:top w:val="single" w:sz="4" w:color="B9C7C2"/>
              <w:left w:val="single" w:sz="4" w:color="B9C7C2"/>
              <w:bottom w:val="single" w:sz="4" w:color="B9C7C2"/>
              <w:right w:val="single" w:sz="4" w:color="B9C7C2"/>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r>
          </w:p>
        </w:tc>
      </w:tr>
    </w:tbl>
    <w:p>
      <w:pPr>
        <w:bidi w:val="1"/>
        <w:spacing w:after="40"/>
        <w:jc w:val="right"/>
      </w:pPr>
    </w:p>
    <w:tbl>
      <w:tblPr>
        <w:tblW w:type="auto" w:w="0"/>
        <w:jc w:val="center"/>
        <w:tblLayout w:type="autofit"/>
        <w:tblLook w:firstColumn="1" w:firstRow="1" w:lastColumn="0" w:lastRow="0" w:noHBand="0" w:noVBand="1" w:val="04A0"/>
      </w:tblPr>
      <w:tblGrid>
        <w:gridCol w:w="5184"/>
        <w:gridCol w:w="5184"/>
      </w:tblGrid>
      <w:tr>
        <w:trPr>
          <w:tblHeader w:val="true"/>
        </w:trPr>
        <w:tc>
          <w:tcPr>
            <w:tcW w:type="dxa" w:w="10368"/>
            <w:gridSpan w:val="2"/>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اعتماد وتوقيع</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اسم المحيل</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666666"/>
                <w:sz w:val="16"/>
                <w:rtl w:val="1"/>
              </w:rPr>
              <w:t>................................................................................</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الصفة المهنية ورقم التسجيل إن لزم</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666666"/>
                <w:sz w:val="16"/>
                <w:rtl w:val="1"/>
              </w:rPr>
              <w:t>................................................................................</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التوقيع</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666666"/>
                <w:sz w:val="16"/>
                <w:rtl w:val="1"/>
              </w:rPr>
              <w:t>................................................................................</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التاريخ والوقت</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666666"/>
                <w:sz w:val="16"/>
                <w:rtl w:val="1"/>
              </w:rPr>
              <w:t>................................................................................</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وسيلة تأكيد استلام الإحالة</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666666"/>
                <w:sz w:val="16"/>
                <w:rtl w:val="1"/>
              </w:rPr>
              <w:t>................................................................................</w:t>
            </w:r>
          </w:p>
        </w:tc>
      </w:tr>
    </w:tbl>
    <w:p>
      <w:pPr>
        <w:bidi w:val="1"/>
        <w:spacing w:after="40"/>
        <w:jc w:val="right"/>
      </w:pPr>
    </w:p>
    <w:p>
      <w:pPr>
        <w:spacing w:after="40"/>
        <w:jc w:val="right"/>
        <w:bidi w:val="1"/>
      </w:pPr>
      <w:r>
        <w:rPr>
          <w:rFonts w:ascii="Noto Sans Arabic" w:hAnsi="Noto Sans Arabic" w:cs="Noto Sans Arabic" w:eastAsia="Noto Naskh Arabic"/>
          <w:b/>
          <w:color w:val="24322E"/>
          <w:sz w:val="17"/>
          <w:rtl w:val="1"/>
        </w:rPr>
        <w:t xml:space="preserve">مرجعية التصميم: </w:t>
      </w:r>
      <w:hyperlink r:id="rId11">
        <w:r>
          <w:rPr>
            <w:color w:val="365E54"/>
            <w:u w:val="single"/>
            <w:rFonts w:ascii="Noto Naskh Arabic" w:hAnsi="Noto Naskh Arabic" w:cs="Noto Naskh Arabic"/>
            <w:rtl w:val="1"/>
          </w:rPr>
          <w:t>منظمة الصحة العالمية — Medication Safety in Transitions of Care (2019)</w:t>
        </w:r>
      </w:hyperlink>
      <w:r>
        <w:rPr>
          <w:rFonts w:ascii="Noto Sans Arabic" w:hAnsi="Noto Sans Arabic" w:cs="Noto Sans Arabic" w:eastAsia="Noto Naskh Arabic"/>
          <w:sz w:val="17"/>
          <w:rtl w:val="1"/>
        </w:rPr>
        <w:t xml:space="preserve">؛ </w:t>
      </w:r>
      <w:hyperlink r:id="rId12">
        <w:r>
          <w:rPr>
            <w:color w:val="365E54"/>
            <w:u w:val="single"/>
            <w:rFonts w:ascii="Noto Naskh Arabic" w:hAnsi="Noto Naskh Arabic" w:cs="Noto Naskh Arabic"/>
            <w:rtl w:val="1"/>
          </w:rPr>
          <w:t>الجمعية الأمريكية للطب النفسي APA — Telepsychiatry Toolkit: Patient Safety and Emergency Management</w:t>
        </w:r>
      </w:hyperlink>
      <w:r>
        <w:rPr>
          <w:rFonts w:ascii="Noto Sans Arabic" w:hAnsi="Noto Sans Arabic" w:cs="Noto Sans Arabic" w:eastAsia="Noto Naskh Arabic"/>
          <w:sz w:val="17"/>
          <w:rtl w:val="1"/>
        </w:rPr>
        <w:t xml:space="preserve">؛ </w:t>
      </w:r>
      <w:hyperlink r:id="rId13">
        <w:r>
          <w:rPr>
            <w:color w:val="365E54"/>
            <w:u w:val="single"/>
            <w:rFonts w:ascii="Noto Naskh Arabic" w:hAnsi="Noto Naskh Arabic" w:cs="Noto Naskh Arabic"/>
            <w:rtl w:val="1"/>
          </w:rPr>
          <w:t>APA/ATA — Best Practices in Videoconferencing-Based Telemental Health</w:t>
        </w:r>
      </w:hyperlink>
    </w:p>
    <w:p>
      <w:pPr>
        <w:jc w:val="right"/>
        <w:bidi/>
      </w:pPr>
      <w:r>
        <w:rPr>
          <w:rFonts w:ascii="Noto Sans Arabic" w:hAnsi="Noto Sans Arabic" w:cs="Noto Sans Arabic"/>
          <w:b w:val="0"/>
          <w:sz w:val="16"/>
        </w:rPr>
        <w:t>حقوق الاستخدام: يسمح بالاستخدام السريري الداخلي غير التجاري مع الحفاظ على اسم المصدر ورقم الإصدار. لا يسمح بإعادة البيع أو النشر المعدل أو تقديم الأداة بوصفها معتمدة من جهة خارجية دون إذن مكتوب. يتحمل المستخدم مسؤولية التكييف المحلي والتحقق من ملاءمتها.</w:t>
      </w:r>
    </w:p>
    <w:sectPr w:rsidR="00FC693F" w:rsidRPr="0006063C" w:rsidSect="00034616">
      <w:headerReference w:type="default" r:id="rId9"/>
      <w:footerReference w:type="default" r:id="rId10"/>
      <w:headerReference w:type="first" r:id="rId14"/>
      <w:footerReference w:type="first" r:id="rId15"/>
      <w:headerReference w:type="even" r:id="rId16"/>
      <w:footerReference w:type="even" r:id="rId17"/>
      <w:pgSz w:w="11906" w:h="16838"/>
      <w:pgMar w:top="680" w:right="680" w:bottom="737" w:left="680" w:header="340"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val="1"/>
    </w:pPr>
    <w:r>
      <w:rPr>
        <w:rFonts w:ascii="Noto Sans Arabic" w:hAnsi="Noto Sans Arabic" w:cs="Noto Sans Arabic" w:eastAsia="Noto Naskh Arabic"/>
        <w:b w:val="0"/>
        <w:color w:val="666666"/>
        <w:sz w:val="16"/>
        <w:rtl w:val="1"/>
      </w:rPr>
      <w:t>© 2026 عيادة الدكتور خالد النفسية | الإصدار 1.2.0 | استخدام مهني مضبوط وخاضع للمراجعة | www.drkhalidmentalhealth.com</w:t>
    </w:r>
    <w:r>
      <w:rPr>
        <w:rFonts w:ascii="Noto Sans Arabic" w:hAnsi="Noto Sans Arabic" w:cs="Noto Sans Arabic" w:eastAsia="Noto Naskh Arabic"/>
        <w:color w:val="666666"/>
        <w:sz w:val="17"/>
        <w:rtl w:val="1"/>
      </w:rPr>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val="1"/>
    </w:pPr>
    <w:r>
      <w:rPr>
        <w:rFonts w:ascii="Noto Naskh Arabic" w:hAnsi="Noto Naskh Arabic" w:cs="Noto Naskh Arabic" w:eastAsia="Noto Naskh Arabic"/>
        <w:b/>
        <w:color w:val="365E54"/>
        <w:sz w:val="17"/>
        <w:rtl w:val="1"/>
      </w:rPr>
      <w:t>عيادة الدكتور خالد النفسية  |  مساحة المختصين  |  المكتبة</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9" w:lineRule="auto"/>
      <w:bidi w:val="1"/>
    </w:pPr>
    <w:rPr>
      <w:rFonts w:ascii="Noto Naskh Arabic" w:hAnsi="Noto Naskh Arabic" w:cs="Noto Naskh Arabic"/>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20" w:after="80"/>
      <w:outlineLvl w:val="0"/>
      <w:bidi w:val="1"/>
    </w:pPr>
    <w:rPr>
      <w:rFonts w:asciiTheme="majorHAnsi" w:eastAsiaTheme="majorEastAsia" w:hAnsiTheme="majorHAnsi" w:cstheme="majorBidi" w:ascii="Noto Sans Arabic" w:hAnsi="Noto Sans Arabic" w:cs="Noto Sans Arabic"/>
      <w:b/>
      <w:bCs/>
      <w:color w:val="24322E"/>
      <w:sz w:val="32"/>
      <w:szCs w:val="28"/>
    </w:rPr>
  </w:style>
  <w:style w:type="paragraph" w:styleId="Heading2">
    <w:name w:val="heading 2"/>
    <w:basedOn w:val="Normal"/>
    <w:next w:val="Normal"/>
    <w:link w:val="Heading2Char"/>
    <w:uiPriority w:val="9"/>
    <w:unhideWhenUsed/>
    <w:qFormat/>
    <w:rsid w:val="00FC693F"/>
    <w:pPr>
      <w:keepNext/>
      <w:keepLines/>
      <w:spacing w:before="120" w:after="80"/>
      <w:outlineLvl w:val="1"/>
      <w:bidi w:val="1"/>
    </w:pPr>
    <w:rPr>
      <w:rFonts w:asciiTheme="majorHAnsi" w:eastAsiaTheme="majorEastAsia" w:hAnsiTheme="majorHAnsi" w:cstheme="majorBidi" w:ascii="Noto Sans Arabic" w:hAnsi="Noto Sans Arabic" w:cs="Noto Sans Arabic"/>
      <w:b/>
      <w:bCs/>
      <w:color w:val="365E54"/>
      <w:sz w:val="26"/>
      <w:szCs w:val="26"/>
    </w:rPr>
  </w:style>
  <w:style w:type="paragraph" w:styleId="Heading3">
    <w:name w:val="heading 3"/>
    <w:basedOn w:val="Normal"/>
    <w:next w:val="Normal"/>
    <w:link w:val="Heading3Char"/>
    <w:uiPriority w:val="9"/>
    <w:unhideWhenUsed/>
    <w:qFormat/>
    <w:rsid w:val="00FC693F"/>
    <w:pPr>
      <w:keepNext/>
      <w:keepLines/>
      <w:spacing w:before="120" w:after="80"/>
      <w:outlineLvl w:val="2"/>
      <w:bidi w:val="1"/>
    </w:pPr>
    <w:rPr>
      <w:rFonts w:asciiTheme="majorHAnsi" w:eastAsiaTheme="majorEastAsia" w:hAnsiTheme="majorHAnsi" w:cstheme="majorBidi" w:ascii="Noto Sans Arabic" w:hAnsi="Noto Sans Arabic" w:cs="Noto Sans Arabic"/>
      <w:b/>
      <w:bCs/>
      <w:color w:val="24322E"/>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80" w:line="240" w:lineRule="auto" w:before="120"/>
      <w:contextualSpacing/>
      <w:bidi w:val="1"/>
    </w:pPr>
    <w:rPr>
      <w:rFonts w:asciiTheme="majorHAnsi" w:eastAsiaTheme="majorEastAsia" w:hAnsiTheme="majorHAnsi" w:cstheme="majorBidi" w:ascii="Noto Sans Arabic" w:hAnsi="Noto Sans Arabic" w:cs="Noto Sans Arabic"/>
      <w:b/>
      <w:color w:val="24322E"/>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ormLabel">
    <w:name w:val="Form Label"/>
    <w:pPr>
      <w:spacing w:after="20"/>
      <w:bidi w:val="1"/>
    </w:pPr>
    <w:rPr>
      <w:rFonts w:ascii="Noto Sans Arabic" w:hAnsi="Noto Sans Arabic" w:cs="Noto Sans Arabic"/>
      <w:b/>
      <w:color w:val="24322E"/>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who.int/publications/i/item/WHO-UHC-SDS-2019.9" TargetMode="External"/><Relationship Id="rId12" Type="http://schemas.openxmlformats.org/officeDocument/2006/relationships/hyperlink" Target="https://www.psychiatry.org/psychiatrists/practice/telepsychiatry/toolkit/patient-safety-and-emergency-management" TargetMode="External"/><Relationship Id="rId13" Type="http://schemas.openxmlformats.org/officeDocument/2006/relationships/hyperlink" Target="https://www.psychiatry.org/getmedia/05b9b9cb-dbb5-4df8-8948-e2b9bd659b55/APA-ATA-Best-Practices-in-Videoconferencing-Based-Telemental-Health.pdf" TargetMode="External"/><Relationship Id="rId14" Type="http://schemas.openxmlformats.org/officeDocument/2006/relationships/header" Target="header2.xml"/><Relationship Id="rId15" Type="http://schemas.openxmlformats.org/officeDocument/2006/relationships/footer" Target="footer2.xml"/><Relationship Id="rId16" Type="http://schemas.openxmlformats.org/officeDocument/2006/relationships/header" Target="header3.xml"/><Relationship Id="rId1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قالب خطاب إحالة أو تحويل للطبيب</dc:title>
  <dc:subject>Controlled internal professional clinical documentation toolkit - version 1.2.0</dc:subject>
  <dc:creator>Dr. Khalid Mental Health Clinic</dc:creator>
  <cp:keywords>telepsychiatry, medication safety, clinical documentation, risk escalation, Sudan</cp:keywords>
  <dc:description>Internal professional release; not external regulatory or academic accreditation.</dc:description>
  <cp:lastModifiedBy>Dr. Khalid Mental Health Clinic</cp:lastModifiedBy>
  <cp:revision>1</cp:revision>
  <dcterms:created xsi:type="dcterms:W3CDTF">2026-08-02T11:27:00Z</dcterms:created>
  <dcterms:modified xsi:type="dcterms:W3CDTF">2026-08-02T11:27:00Z</dcterms:modified>
  <cp:category/>
</cp:coreProperties>
</file>