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jc w:val="right"/>
        <w:bidi w:val="1"/>
      </w:pPr>
      <w:r>
        <w:rPr>
          <w:rFonts w:ascii="Noto Sans Arabic" w:hAnsi="Noto Sans Arabic" w:cs="Noto Sans Arabic" w:eastAsia="Noto Sans Arabic"/>
          <w:b/>
          <w:sz w:val="44"/>
          <w:rtl w:val="1"/>
        </w:rPr>
        <w:t>قائمة مؤشرات الإحالة الطبية أو النفسية العاجلة</w:t>
      </w:r>
    </w:p>
    <w:p>
      <w:pPr>
        <w:spacing w:after="40"/>
        <w:jc w:val="right"/>
        <w:bidi w:val="1"/>
      </w:pPr>
      <w:r>
        <w:rPr>
          <w:rFonts w:ascii="Noto Sans Arabic" w:hAnsi="Noto Sans Arabic" w:cs="Noto Sans Arabic" w:eastAsia="Noto Naskh Arabic"/>
          <w:color w:val="365E54"/>
          <w:sz w:val="22"/>
          <w:rtl w:val="1"/>
        </w:rPr>
        <w:t>أداة قرار وتصعيد للحالات التي لا يكفي معها التقييم الروتيني أو الرعاية عن بُعد</w:t>
      </w:r>
    </w:p>
    <w:p>
      <w:pPr>
        <w:spacing w:after="40"/>
        <w:jc w:val="right"/>
        <w:bidi w:val="1"/>
      </w:pPr>
      <w:r>
        <w:rPr>
          <w:rFonts w:ascii="Noto Sans Arabic" w:hAnsi="Noto Sans Arabic" w:cs="Noto Sans Arabic" w:eastAsia="Noto Naskh Arabic"/>
          <w:color w:val="666666"/>
          <w:sz w:val="17"/>
        </w:rPr>
        <w:t>رمز النموذج: DKMH-LIB-SAFE-01    |    الإصدار: 1.2.0    |    تاريخ الإصدار الداخلي: 2 أغسطس 2026 | حالة المراجعة: مراجعة داخلية مهنية</w:t>
      </w: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bottom w:val="single" w:sz="2" w:color="365E54"/>
            </w:tcBorders>
            <w:tcMar>
              <w:top w:w="80" w:type="dxa"/>
              <w:start w:w="90" w:type="dxa"/>
              <w:bottom w:w="80" w:type="dxa"/>
              <w:end w:w="90" w:type="dxa"/>
            </w:tcMar>
            <w:vAlign w:val="center"/>
          </w:tcPr>
          <w:p>
            <w:pPr>
              <w:bidi w:val="1"/>
              <w:spacing w:after="0" w:before="0" w:line="240" w:lineRule="auto"/>
              <w:jc w:val="right"/>
            </w:pPr>
          </w:p>
        </w:tc>
      </w:tr>
    </w:tbl>
    <w:p>
      <w:pPr>
        <w:bidi w:val="1"/>
        <w:spacing w:after="40"/>
        <w:jc w:val="right"/>
      </w:pPr>
    </w:p>
    <w:tbl>
      <w:tblPr>
        <w:tblW w:type="auto" w:w="0"/>
        <w:jc w:val="center"/>
        <w:tblLayout w:type="autofit"/>
        <w:tblLook w:firstColumn="1" w:firstRow="1" w:lastColumn="0" w:lastRow="0" w:noHBand="0" w:noVBand="1" w:val="04A0"/>
      </w:tblPr>
      <w:tblGrid>
        <w:gridCol w:w="10368"/>
      </w:tblGrid>
      <w:tr>
        <w:trPr>
          <w:tblHeader w:val="true"/>
        </w:trPr>
        <w:tc>
          <w:tcPr>
            <w:tcW w:type="dxa" w:w="10368"/>
            <w:shd w:fill="D9E8E6"/>
            <w:tcBorders>
              <w:top w:val="single" w:sz="8" w:color="365E54"/>
              <w:left w:val="single" w:sz="4" w:color="C6D5CF"/>
              <w:bottom w:val="single" w:sz="4" w:color="C6D5CF"/>
              <w:right w:val="single" w:sz="4" w:color="C6D5CF"/>
            </w:tcBorders>
            <w:tcMar>
              <w:top w:w="80" w:type="dxa"/>
              <w:start w:w="90" w:type="dxa"/>
              <w:bottom w:w="80" w:type="dxa"/>
              <w:end w:w="90" w:type="dxa"/>
            </w:tcMar>
            <w:vAlign w:val="center"/>
          </w:tcPr>
          <w:p>
            <w:pPr>
              <w:spacing w:after="0" w:before="0" w:line="240" w:lineRule="auto"/>
              <w:jc w:val="right"/>
              <w:bidi w:val="1"/>
            </w:pPr>
            <w:r>
              <w:rPr>
                <w:rFonts w:ascii="Noto Sans Arabic" w:hAnsi="Noto Sans Arabic" w:cs="Noto Sans Arabic" w:eastAsia="Noto Naskh Arabic"/>
                <w:b/>
                <w:color w:val="24322E"/>
                <w:sz w:val="16"/>
                <w:rtl w:val="1"/>
              </w:rPr>
              <w:t>حدود الاستخدام المهنية</w:t>
              <w:br/>
            </w:r>
            <w:r>
              <w:rPr>
                <w:rFonts w:ascii="Noto Sans Arabic" w:hAnsi="Noto Sans Arabic" w:cs="Noto Sans Arabic" w:eastAsia="Noto Naskh Arabic"/>
                <w:b/>
                <w:sz w:val="16"/>
                <w:rtl w:val="1"/>
              </w:rPr>
              <w:t>القائمة ليست شاملة ولا تستبدل الحكم السريري أو بروتوكول الطوارئ المحلي. عند وجود خطر وشيك لا تُترك الحالة على رسائل أو موعد لاحق؛ يُوجَّه المراجع فوراً إلى أقرب مرفق طوارئ قادر، مع إشراك شخص موثوق وخدمات الطوارئ المتاحة حسب المكان.</w:t>
            </w:r>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ضبط المستند والحوكمة</w:t>
            </w:r>
          </w:p>
        </w:tc>
      </w:tr>
      <w:tr>
        <w:tc>
          <w:tcPr>
            <w:tcW w:type="dxa" w:w="2381"/>
            <w:vAlign w:val="center"/>
          </w:tcPr>
          <w:p>
            <w:pPr>
              <w:jc w:val="right"/>
              <w:bidi/>
            </w:pPr>
            <w:r>
              <w:rPr>
                <w:rFonts w:ascii="Noto Sans Arabic" w:hAnsi="Noto Sans Arabic" w:cs="Noto Sans Arabic"/>
                <w:sz w:val="16"/>
              </w:rPr>
              <w:t>الجهة المالكة</w:t>
            </w:r>
          </w:p>
        </w:tc>
        <w:tc>
          <w:tcPr>
            <w:tcW w:type="dxa" w:w="6803"/>
            <w:vAlign w:val="center"/>
          </w:tcPr>
          <w:p>
            <w:pPr>
              <w:jc w:val="right"/>
              <w:bidi/>
            </w:pPr>
            <w:r>
              <w:rPr>
                <w:rFonts w:ascii="Noto Sans Arabic" w:hAnsi="Noto Sans Arabic" w:cs="Noto Sans Arabic"/>
                <w:sz w:val="16"/>
              </w:rPr>
              <w:t>عيادة الدكتور خالد النفسية</w:t>
            </w:r>
          </w:p>
        </w:tc>
      </w:tr>
      <w:tr>
        <w:tc>
          <w:tcPr>
            <w:tcW w:type="dxa" w:w="2381"/>
            <w:vAlign w:val="center"/>
          </w:tcPr>
          <w:p>
            <w:pPr>
              <w:jc w:val="right"/>
              <w:bidi/>
            </w:pPr>
            <w:r>
              <w:rPr>
                <w:rFonts w:ascii="Noto Sans Arabic" w:hAnsi="Noto Sans Arabic" w:cs="Noto Sans Arabic"/>
                <w:sz w:val="16"/>
              </w:rPr>
              <w:t>المسؤول عن المحتوى السريري</w:t>
            </w:r>
          </w:p>
        </w:tc>
        <w:tc>
          <w:tcPr>
            <w:tcW w:type="dxa" w:w="6803"/>
            <w:vAlign w:val="center"/>
          </w:tcPr>
          <w:p>
            <w:pPr>
              <w:jc w:val="right"/>
              <w:bidi/>
            </w:pPr>
            <w:r>
              <w:rPr>
                <w:rFonts w:ascii="Noto Sans Arabic" w:hAnsi="Noto Sans Arabic" w:cs="Noto Sans Arabic"/>
                <w:sz w:val="16"/>
              </w:rPr>
              <w:t>د. خالد حسن أحمد حسن — طبيب ومؤسس عيادة الدكتور خالد النفسية | الطب النفسي عن بُعد وخدمات الصحة النفسية المجتمعية</w:t>
            </w:r>
          </w:p>
        </w:tc>
      </w:tr>
      <w:tr>
        <w:tc>
          <w:tcPr>
            <w:tcW w:type="dxa" w:w="2381"/>
            <w:vAlign w:val="center"/>
          </w:tcPr>
          <w:p>
            <w:pPr>
              <w:jc w:val="right"/>
              <w:bidi/>
            </w:pPr>
            <w:r>
              <w:rPr>
                <w:rFonts w:ascii="Noto Sans Arabic" w:hAnsi="Noto Sans Arabic" w:cs="Noto Sans Arabic"/>
                <w:sz w:val="16"/>
              </w:rPr>
              <w:t>حالة الإصدار</w:t>
            </w:r>
          </w:p>
        </w:tc>
        <w:tc>
          <w:tcPr>
            <w:tcW w:type="dxa" w:w="6803"/>
            <w:vAlign w:val="center"/>
          </w:tcPr>
          <w:p>
            <w:pPr>
              <w:jc w:val="right"/>
              <w:bidi/>
            </w:pPr>
            <w:r>
              <w:rPr>
                <w:rFonts w:ascii="Noto Sans Arabic" w:hAnsi="Noto Sans Arabic" w:cs="Noto Sans Arabic"/>
                <w:sz w:val="16"/>
              </w:rPr>
              <w:t>مراجعة داخلية مهنية. لا يمثل هذا الوصف اعتماداً تنظيمياً أو أكاديمياً خارجياً.</w:t>
            </w:r>
          </w:p>
        </w:tc>
      </w:tr>
      <w:tr>
        <w:tc>
          <w:tcPr>
            <w:tcW w:type="dxa" w:w="2381"/>
            <w:vAlign w:val="center"/>
          </w:tcPr>
          <w:p>
            <w:pPr>
              <w:jc w:val="right"/>
              <w:bidi/>
            </w:pPr>
            <w:r>
              <w:rPr>
                <w:rFonts w:ascii="Noto Sans Arabic" w:hAnsi="Noto Sans Arabic" w:cs="Noto Sans Arabic"/>
                <w:sz w:val="16"/>
              </w:rPr>
              <w:t>نطاق الاستخدام</w:t>
            </w:r>
          </w:p>
        </w:tc>
        <w:tc>
          <w:tcPr>
            <w:tcW w:type="dxa" w:w="6803"/>
            <w:vAlign w:val="center"/>
          </w:tcPr>
          <w:p>
            <w:pPr>
              <w:jc w:val="right"/>
              <w:bidi/>
            </w:pPr>
            <w:r>
              <w:rPr>
                <w:rFonts w:ascii="Noto Sans Arabic" w:hAnsi="Noto Sans Arabic" w:cs="Noto Sans Arabic"/>
                <w:sz w:val="16"/>
              </w:rPr>
              <w:t>أداة توثيق ودعم قرار للممارسين المؤهلين، مع ضرورة التكييف حسب القوانين ونطاق الممارسة والبروتوكولات المحلية.</w:t>
            </w:r>
          </w:p>
        </w:tc>
      </w:tr>
      <w:tr>
        <w:tc>
          <w:tcPr>
            <w:tcW w:type="dxa" w:w="2381"/>
            <w:vAlign w:val="center"/>
          </w:tcPr>
          <w:p>
            <w:pPr>
              <w:jc w:val="right"/>
              <w:bidi/>
            </w:pPr>
            <w:r>
              <w:rPr>
                <w:rFonts w:ascii="Noto Sans Arabic" w:hAnsi="Noto Sans Arabic" w:cs="Noto Sans Arabic"/>
                <w:sz w:val="16"/>
              </w:rPr>
              <w:t>دورة المراجعة</w:t>
            </w:r>
          </w:p>
        </w:tc>
        <w:tc>
          <w:tcPr>
            <w:tcW w:type="dxa" w:w="6803"/>
            <w:vAlign w:val="center"/>
          </w:tcPr>
          <w:p>
            <w:pPr>
              <w:jc w:val="right"/>
              <w:bidi/>
            </w:pPr>
            <w:r>
              <w:rPr>
                <w:rFonts w:ascii="Noto Sans Arabic" w:hAnsi="Noto Sans Arabic" w:cs="Noto Sans Arabic"/>
                <w:sz w:val="16"/>
              </w:rPr>
              <w:t>كل 6 أشهر أو عند تغير جوهري في الدليل أو التنظيم أو السلامة.</w:t>
            </w:r>
          </w:p>
        </w:tc>
      </w:tr>
      <w:tr>
        <w:tc>
          <w:tcPr>
            <w:tcW w:type="dxa" w:w="2381"/>
            <w:vAlign w:val="center"/>
          </w:tcPr>
          <w:p>
            <w:pPr>
              <w:jc w:val="right"/>
              <w:bidi/>
            </w:pPr>
            <w:r>
              <w:rPr>
                <w:rFonts w:ascii="Noto Sans Arabic" w:hAnsi="Noto Sans Arabic" w:cs="Noto Sans Arabic"/>
                <w:sz w:val="16"/>
              </w:rPr>
              <w:t>الإبلاغ عن خطأ أو طلب سحب نسخة</w:t>
            </w:r>
          </w:p>
        </w:tc>
        <w:tc>
          <w:tcPr>
            <w:tcW w:type="dxa" w:w="6803"/>
            <w:vAlign w:val="center"/>
          </w:tcPr>
          <w:p>
            <w:pPr>
              <w:jc w:val="right"/>
              <w:bidi/>
            </w:pPr>
            <w:r>
              <w:rPr>
                <w:rFonts w:ascii="Noto Sans Arabic" w:hAnsi="Noto Sans Arabic" w:cs="Noto Sans Arabic"/>
                <w:sz w:val="16"/>
              </w:rPr>
              <w:t>عبر صفحة الحوكمة والشكاوى بالموقع الرسمي، مع ذكر رمز النموذج ورقم الإصدار.</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بيانات القرار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الاسم/رمز الملف</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01"/>
                <w:alias w:val="DKMH_05_F001"/>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02"/>
                <w:alias w:val="DKMH_05_F00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موقع المراجع الحالي</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03"/>
                <w:alias w:val="DKMH_05_F00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المقيّم وصفته</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04"/>
                <w:alias w:val="DKMH_05_F004"/>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وسيلة التقييم</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 فيديو  ☐ صوت  ☐ حضوري  ☐ معلومات من طرف ثالث</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أ. إحالة طارئة فورية</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288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المؤشر</w:t>
            </w:r>
          </w:p>
        </w:tc>
        <w:tc>
          <w:tcPr>
            <w:tcW w:type="dxa" w:w="6768"/>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أمثلة عملية</w:t>
            </w:r>
          </w:p>
        </w:tc>
        <w:tc>
          <w:tcPr>
            <w:tcW w:type="dxa" w:w="1007"/>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موجود</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خطر وشيك على النفس</w:t>
            </w:r>
          </w:p>
        </w:tc>
        <w:tc>
          <w:tcPr>
            <w:tcW w:type="dxa" w:w="676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نية/خطة/وسيلة متاحة، محاولة جارية أو حديثة، عجز عن ضمان السلامة</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خطر وشيك على الآخرين</w:t>
            </w:r>
          </w:p>
        </w:tc>
        <w:tc>
          <w:tcPr>
            <w:tcW w:type="dxa" w:w="676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تهديد محدد، سلاح/وسيلة، اندفاع أو فقد السيطرة</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ذهان حاد غير آمن أو هياج شديد</w:t>
            </w:r>
          </w:p>
        </w:tc>
        <w:tc>
          <w:tcPr>
            <w:tcW w:type="dxa" w:w="676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سلوك غير منظم، أوامر هلاوس خطرة، تجوال/اندفاع، عجز عن التعاون</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اضطراب وعي أو هذيان</w:t>
            </w:r>
          </w:p>
        </w:tc>
        <w:tc>
          <w:tcPr>
            <w:tcW w:type="dxa" w:w="676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ارتباك حاد، تذبذب الوعي، عدم معرفة المكان/الزمان، تغير مفاجئ</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تسمم أو انسحاب أو جرعة زائدة</w:t>
            </w:r>
          </w:p>
        </w:tc>
        <w:tc>
          <w:tcPr>
            <w:tcW w:type="dxa" w:w="676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مواد/كحول/أدوية مع أعراض جسدية أو سلوكية، أو كمية غير معروفة</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تشنجات أو أعراض عصبية جديدة</w:t>
            </w:r>
          </w:p>
        </w:tc>
        <w:tc>
          <w:tcPr>
            <w:tcW w:type="dxa" w:w="676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نوبة، ضعف مفاجئ، اضطراب كلام، صداع شديد غير معتاد</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علامات دوائية مهددة للحياة</w:t>
            </w:r>
          </w:p>
        </w:tc>
        <w:tc>
          <w:tcPr>
            <w:tcW w:type="dxa" w:w="676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حمى مع تيبس/ارتباك، فرط منعكسات/رعشة شديدة، طفح شديد، تورم أو صعوبة تنفس</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أعراض قلبية أو تنفسية خطرة</w:t>
            </w:r>
          </w:p>
        </w:tc>
        <w:tc>
          <w:tcPr>
            <w:tcW w:type="dxa" w:w="6768"/>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ألم صدر، إغماء، ضيق نفس شديد، خفقان مع انهيار</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r>
        <w:trPr>
          <w:trHeight w:hRule="atLeast" w:val="518"/>
        </w:trPr>
        <w:tc>
          <w:tcPr>
            <w:tcW w:type="dxa" w:w="288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عجز شديد عن الرعاية الذاتية</w:t>
            </w:r>
          </w:p>
        </w:tc>
        <w:tc>
          <w:tcPr>
            <w:tcW w:type="dxa" w:w="6768"/>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رفض طعام/شراب، جفاف، تعرّض أو تيه، عدم القدرة على البقاء آمناً</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ب. تقييم عاجل في اليوم نفسه أو خلال فترة قصيرة يحددها الطبيب</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903"/>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المؤشر</w:t>
            </w:r>
          </w:p>
        </w:tc>
        <w:tc>
          <w:tcPr>
            <w:tcW w:type="dxa" w:w="115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موجود</w:t>
            </w:r>
          </w:p>
        </w:tc>
        <w:tc>
          <w:tcPr>
            <w:tcW w:type="dxa" w:w="3744"/>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w:t>
            </w:r>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تصاعد أفكار إيذاء النفس دون خطر وشيك مثبت</w:t>
            </w:r>
          </w:p>
        </w:tc>
        <w:tc>
          <w:tcPr>
            <w:tcW w:type="dxa" w:w="115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05"/>
                <w:alias w:val="DKMH_05_F00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هوس أو نشاط زائد شديد مع قلة نوم واندفاع/إنفاق/سلوك خطر</w:t>
            </w:r>
          </w:p>
        </w:tc>
        <w:tc>
          <w:tcPr>
            <w:tcW w:type="dxa" w:w="115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06"/>
                <w:alias w:val="DKMH_05_F00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تدهور سريع في الذهان أو الوظيفة أو الرعاية الذاتية</w:t>
            </w:r>
          </w:p>
        </w:tc>
        <w:tc>
          <w:tcPr>
            <w:tcW w:type="dxa" w:w="115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07"/>
                <w:alias w:val="DKMH_05_F00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أثر جانبي شديد أو متفاقم يحتاج فحصاً أو فحوصات</w:t>
            </w:r>
          </w:p>
        </w:tc>
        <w:tc>
          <w:tcPr>
            <w:tcW w:type="dxa" w:w="115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08"/>
                <w:alias w:val="DKMH_05_F00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توقف مفاجئ لدواء عالي الخطورة أو اشتباه انسحاب</w:t>
            </w:r>
          </w:p>
        </w:tc>
        <w:tc>
          <w:tcPr>
            <w:tcW w:type="dxa" w:w="115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09"/>
                <w:alias w:val="DKMH_05_F00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حمل أو رضاعة مع حاجة إلى قرار دوائي قريب</w:t>
            </w:r>
          </w:p>
        </w:tc>
        <w:tc>
          <w:tcPr>
            <w:tcW w:type="dxa" w:w="115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دواء ذو مخاطر محتملة، أعراض مقلقة، انقطاع مفاجئ، غياب إشراف طبي أو حاجة إلى موازنة عاجلة للمخاطر والفوائد: </w:t>
            </w:r>
            <w:sdt>
              <w:sdtPr>
                <w:tag w:val="DKMH_05_F010"/>
                <w:alias w:val="DKMH_05_F010"/>
                <w:text/>
              </w:sdtPr>
              <w:sdtContent>
                <w:r>
                  <w:rPr>
                    <w:rFonts w:ascii="Noto Naskh Arabic" w:hAnsi="Noto Naskh Arabic" w:cs="Noto Naskh Arabic" w:eastAsia="Noto Naskh Arabic"/>
                    <w:b w:val="0"/>
                    <w:sz w:val="17"/>
                  </w:rPr>
                  <w:t>[اكتب هنا]</w:t>
                </w:r>
              </w:sdtContent>
            </w:sdt>
          </w:p>
        </w:tc>
      </w:tr>
      <w:tr>
        <w:trPr>
          <w:trHeight w:hRule="atLeast" w:val="518"/>
        </w:trPr>
        <w:tc>
          <w:tcPr>
            <w:tcW w:type="dxa" w:w="5903"/>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حالة عضوية أو عدوى أو ألم قد يفسر التغير النفسي</w:t>
            </w:r>
          </w:p>
        </w:tc>
        <w:tc>
          <w:tcPr>
            <w:tcW w:type="dxa" w:w="1152"/>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1"/>
                <w:alias w:val="DKMH_05_F011"/>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903"/>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تعذر تقييم السلامة عن بُعد مع وجود شك معقول بالخطر</w:t>
            </w:r>
          </w:p>
        </w:tc>
        <w:tc>
          <w:tcPr>
            <w:tcW w:type="dxa" w:w="1152"/>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3744"/>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2"/>
                <w:alias w:val="DKMH_05_F012"/>
                <w:text/>
              </w:sdtPr>
              <w:sdtContent>
                <w:r>
                  <w:rPr>
                    <w:rFonts w:ascii="Noto Naskh Arabic" w:hAnsi="Noto Naskh Arabic" w:cs="Noto Naskh Arabic" w:eastAsia="Noto Naskh Arabic"/>
                    <w:color w:val="333333"/>
                    <w:sz w:val="17"/>
                    <w:rtl w:val="1"/>
                  </w:rPr>
                  <w:t>[اكتب هنا]</w:t>
                </w:r>
              </w:sdtContent>
            </w:sdt>
          </w:p>
        </w:tc>
      </w:tr>
      <w:tr>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خطر حماية مباشر</w:t>
            </w:r>
          </w:p>
        </w:tc>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w:t>
            </w:r>
          </w:p>
        </w:tc>
        <w:tc>
          <w:tcPr>
            <w:tcW w:type="dxa" w:w="3456"/>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val="0"/>
                <w:sz w:val="16"/>
              </w:rPr>
              <w:t xml:space="preserve">عنف أسري أو إساءة أو استغلال أو إهمال طفل أو شخص بالغ ضعيف أو عجز عن الوصول إلى الأمان: </w:t>
            </w:r>
            <w:sdt>
              <w:sdtPr>
                <w:tag w:val="DKMH_05_F013"/>
                <w:alias w:val="DKMH_05_F013"/>
                <w:text/>
              </w:sdtPr>
              <w:sdtContent>
                <w:r>
                  <w:rPr>
                    <w:rFonts w:ascii="Noto Naskh Arabic" w:hAnsi="Noto Naskh Arabic" w:cs="Noto Naskh Arabic" w:eastAsia="Noto Naskh Arabic"/>
                    <w:b w:val="0"/>
                    <w:sz w:val="17"/>
                  </w:rPr>
                  <w:t>[اكتب هنا]</w:t>
                </w:r>
              </w:sdtContent>
            </w:sdt>
          </w:p>
        </w:tc>
      </w:tr>
    </w:tbl>
    <w:p>
      <w:pPr>
        <w:bidi w:val="1"/>
        <w:spacing w:after="40"/>
        <w:jc w:val="right"/>
      </w:pPr>
    </w:p>
    <w:p>
      <w:pPr>
        <w:pStyle w:val="Heading2"/>
        <w:spacing w:after="40"/>
        <w:jc w:val="right"/>
        <w:bidi w:val="1"/>
      </w:pPr>
      <w:r>
        <w:rPr>
          <w:rFonts w:ascii="Noto Sans Arabic" w:hAnsi="Noto Sans Arabic" w:cs="Noto Sans Arabic" w:eastAsia="Noto Sans Arabic"/>
          <w:sz w:val="26"/>
          <w:rtl w:val="1"/>
        </w:rPr>
        <w:t>ج. تنفيذ التصعيد</w:t>
      </w:r>
    </w:p>
    <w:tbl>
      <w:tblPr>
        <w:tblW w:type="auto" w:w="0"/>
        <w:jc w:val="center"/>
        <w:tblLayout w:type="autofit"/>
        <w:tblLook w:firstColumn="1" w:firstRow="1" w:lastColumn="0" w:lastRow="0" w:noHBand="0" w:noVBand="1" w:val="04A0"/>
      </w:tblPr>
      <w:tblGrid>
        <w:gridCol w:w="3456"/>
        <w:gridCol w:w="3456"/>
        <w:gridCol w:w="3456"/>
      </w:tblGrid>
      <w:tr>
        <w:trPr>
          <w:tblHeader w:val="true"/>
        </w:trPr>
        <w:tc>
          <w:tcPr>
            <w:tcW w:type="dxa" w:w="5760"/>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الخطوة</w:t>
            </w:r>
          </w:p>
        </w:tc>
        <w:tc>
          <w:tcPr>
            <w:tcW w:type="dxa" w:w="1007"/>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تم</w:t>
            </w:r>
          </w:p>
        </w:tc>
        <w:tc>
          <w:tcPr>
            <w:tcW w:type="dxa" w:w="4031"/>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التفاصيل/الوقت</w:t>
            </w:r>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تحديد الموقع الحالي بدقة</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4"/>
                <w:alias w:val="DKMH_05_F014"/>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إبقاء التواصل قائماً ما دام ذلك آمناً وممكناً</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5"/>
                <w:alias w:val="DKMH_05_F015"/>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إبلاغ شخص موثوق/مرافق بموافقة المراجع أو وفق ضرورة السلامة</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6"/>
                <w:alias w:val="DKMH_05_F016"/>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توجيه/تنسيق الوصول إلى أقرب طوارئ قادرة</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7"/>
                <w:alias w:val="DKMH_05_F017"/>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تجنب قيادة المراجع لنفسه عند عدم الأمان</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8"/>
                <w:alias w:val="DKMH_05_F018"/>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تسليم ملخص إحالة ومعلومات دوائية أساسية</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19"/>
                <w:alias w:val="DKMH_05_F019"/>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jc w:val="right"/>
              <w:bidi/>
            </w:pPr>
            <w:r>
              <w:rPr>
                <w:rFonts w:ascii="Noto Sans Arabic" w:hAnsi="Noto Sans Arabic" w:cs="Noto Sans Arabic"/>
                <w:sz w:val="16"/>
              </w:rPr>
              <w:t>عند رفض الإحالة: تقييم القدرة على اتخاذ القرار، توثيق أسباب الرفض، التشاور والتصعيد وفق الخطر والقانون المحلي، وعدم إغلاق الحالة على الرفض وحده</w:t>
            </w:r>
          </w:p>
        </w:tc>
        <w:tc>
          <w:tcPr>
            <w:tcW w:type="dxa" w:w="1007"/>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4F6F5"/>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20"/>
                <w:alias w:val="DKMH_05_F020"/>
                <w:text/>
              </w:sdtPr>
              <w:sdtContent>
                <w:r>
                  <w:rPr>
                    <w:rFonts w:ascii="Noto Naskh Arabic" w:hAnsi="Noto Naskh Arabic" w:cs="Noto Naskh Arabic" w:eastAsia="Noto Naskh Arabic"/>
                    <w:color w:val="333333"/>
                    <w:sz w:val="17"/>
                    <w:rtl w:val="1"/>
                  </w:rPr>
                  <w:t>[اكتب هنا]</w:t>
                </w:r>
              </w:sdtContent>
            </w:sdt>
          </w:p>
        </w:tc>
      </w:tr>
      <w:tr>
        <w:trPr>
          <w:trHeight w:hRule="atLeast" w:val="518"/>
        </w:trPr>
        <w:tc>
          <w:tcPr>
            <w:tcW w:type="dxa" w:w="5760"/>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تأكيد الوصول/الاستلام حين يكون ذلك ممكناً</w:t>
            </w:r>
          </w:p>
        </w:tc>
        <w:tc>
          <w:tcPr>
            <w:tcW w:type="dxa" w:w="1007"/>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333333"/>
                <w:sz w:val="16"/>
                <w:rtl w:val="1"/>
              </w:rPr>
              <w:t>☐</w:t>
            </w:r>
          </w:p>
        </w:tc>
        <w:tc>
          <w:tcPr>
            <w:tcW w:type="dxa" w:w="4031"/>
            <w:shd w:fill="FFFFFF"/>
            <w:bidiVisual w:val="1"/>
            <w:vAlign w:val="center"/>
            <w:tcBorders>
              <w:top w:val="single" w:sz="3" w:color="CAD4D0"/>
              <w:left w:val="single" w:sz="3" w:color="CAD4D0"/>
              <w:bottom w:val="single" w:sz="3" w:color="CAD4D0"/>
              <w:right w:val="single" w:sz="3" w:color="CAD4D0"/>
            </w:tcBorders>
            <w:tcMar>
              <w:top w:w="80" w:type="dxa"/>
              <w:start w:w="90" w:type="dxa"/>
              <w:bottom w:w="80" w:type="dxa"/>
              <w:end w:w="90" w:type="dxa"/>
            </w:tcMar>
          </w:tcPr>
          <w:p>
            <w:pPr>
              <w:spacing w:after="0" w:before="0" w:line="240" w:lineRule="auto"/>
              <w:jc w:val="right"/>
              <w:bidi w:val="1"/>
            </w:pPr>
            <w:sdt>
              <w:sdtPr>
                <w:tag w:val="DKMH_05_F021"/>
                <w:alias w:val="DKMH_05_F021"/>
                <w:text/>
              </w:sdtPr>
              <w:sdtContent>
                <w:r>
                  <w:rPr>
                    <w:rFonts w:ascii="Noto Naskh Arabic" w:hAnsi="Noto Naskh Arabic" w:cs="Noto Naskh Arabic" w:eastAsia="Noto Naskh Arabic"/>
                    <w:color w:val="333333"/>
                    <w:sz w:val="17"/>
                    <w:rtl w:val="1"/>
                  </w:rPr>
                  <w:t>[اكتب هنا]</w:t>
                </w:r>
              </w:sdtContent>
            </w:sdt>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القرار</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قرار التصعيد النهائي</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jc w:val="right"/>
              <w:bidi/>
            </w:pPr>
            <w:r>
              <w:rPr>
                <w:rFonts w:ascii="Noto Sans Arabic" w:hAnsi="Noto Sans Arabic" w:cs="Noto Sans Arabic"/>
                <w:sz w:val="16"/>
              </w:rPr>
              <w:t>☐ طوارئ فورية ☐ تقييم عاجل اليوم ☐ متابعة مكثفة مستوفية لشروط الأمان ☐ لا تنطبق مؤشرات عاجلة حالياً</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المرفق/الجهة المحال إليها</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22"/>
                <w:alias w:val="DKMH_05_F022"/>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وسيلة النقل/الوصول</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23"/>
                <w:alias w:val="DKMH_05_F023"/>
                <w:text/>
              </w:sdtPr>
              <w:sdtContent>
                <w:r>
                  <w:rPr>
                    <w:rFonts w:ascii="Noto Naskh Arabic" w:hAnsi="Noto Naskh Arabic" w:cs="Noto Naskh Arabic" w:eastAsia="Noto Naskh Arabic"/>
                    <w:color w:val="666666"/>
                    <w:sz w:val="18"/>
                    <w:rtl w:val="1"/>
                  </w:rPr>
                  <w:t>[اكتب هنا]</w:t>
                </w:r>
              </w:sdtContent>
            </w:sdt>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الشخص المرافق/المبلّغ</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sdt>
              <w:sdtPr>
                <w:tag w:val="DKMH_05_F024"/>
                <w:alias w:val="DKMH_05_F024"/>
                <w:text/>
              </w:sdtPr>
              <w:sdtContent>
                <w:r>
                  <w:rPr>
                    <w:rFonts w:ascii="Noto Naskh Arabic" w:hAnsi="Noto Naskh Arabic" w:cs="Noto Naskh Arabic" w:eastAsia="Noto Naskh Arabic"/>
                    <w:color w:val="666666"/>
                    <w:sz w:val="18"/>
                    <w:rtl w:val="1"/>
                  </w:rPr>
                  <w:t>[اكتب هنا]</w:t>
                </w:r>
              </w:sdtContent>
            </w:sdt>
          </w:p>
        </w:tc>
      </w:tr>
    </w:tbl>
    <w:tbl>
      <w:tblPr>
        <w:tblW w:type="auto" w:w="0"/>
        <w:jc w:val="center"/>
        <w:tblLook w:firstColumn="1" w:firstRow="1" w:lastColumn="0" w:lastRow="0" w:noHBand="0" w:noVBand="1" w:val="04A0"/>
      </w:tblPr>
      <w:tblGrid>
        <w:gridCol w:w="5273"/>
        <w:gridCol w:w="5273"/>
      </w:tblGrid>
      <w:tr>
        <w:trPr>
          <w:tblHeader w:val="true"/>
        </w:trPr>
        <w:tc>
          <w:tcPr>
            <w:tcW w:type="dxa" w:w="9184"/>
            <w:vAlign w:val="center"/>
            <w:gridSpan w:val="2"/>
            <w:shd w:fill="D9E8E6"/>
          </w:tcPr>
          <w:p>
            <w:pPr>
              <w:jc w:val="right"/>
              <w:bidi/>
            </w:pPr>
            <w:r>
              <w:rPr>
                <w:rFonts w:ascii="Noto Sans Arabic" w:hAnsi="Noto Sans Arabic" w:cs="Noto Sans Arabic"/>
                <w:b/>
                <w:sz w:val="16"/>
              </w:rPr>
              <w:t>شروط اختيار المتابعة المكثفة خارج الطوارئ — يجب استيفاؤها جميعاً</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لا توجد علامة تستوجب طوارئ أو فحصاً حضورياً فورياً وفق المعلومات الحالية.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المعلومات كافية لتقدير السلامة، ولا توجد فجوة غير محلولة أو تعذر في التقييم عن بُعد.</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المراجع قادر حالياً على الفهم والمشاركة في الخطة، ولا توجد شبهة اضطراب حاد في القدرة على اتخاذ القرار.</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الموقع ورقم الاتصال البديل معروفان، وإمكانية الوصول إلى رعاية محلية موثقة.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يوجد شخص موثوق أو دعم محلي عندما تستدعي الحالة ذلك، مع توضيح دوره.</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موعد المراجعة محدد وقريب ومتناسب مع درجة القلق، مع تعليمات تصعيد واضحة.</w:t>
            </w:r>
          </w:p>
        </w:tc>
      </w:tr>
      <w:tr>
        <w:tc>
          <w:tcPr>
            <w:tcW w:type="dxa" w:w="680"/>
            <w:vAlign w:val="center"/>
          </w:tcPr>
          <w:p>
            <w:pPr>
              <w:jc w:val="right"/>
              <w:bidi/>
            </w:pPr>
            <w:r>
              <w:rPr>
                <w:rFonts w:ascii="Noto Sans Arabic" w:hAnsi="Noto Sans Arabic" w:cs="Noto Sans Arabic"/>
                <w:sz w:val="16"/>
              </w:rPr>
              <w:t>☐</w:t>
            </w:r>
          </w:p>
        </w:tc>
        <w:tc>
          <w:tcPr>
            <w:tcW w:type="dxa" w:w="8504"/>
            <w:vAlign w:val="center"/>
          </w:tcPr>
          <w:p>
            <w:pPr>
              <w:jc w:val="right"/>
              <w:bidi/>
            </w:pPr>
            <w:r>
              <w:rPr>
                <w:rFonts w:ascii="Noto Sans Arabic" w:hAnsi="Noto Sans Arabic" w:cs="Noto Sans Arabic"/>
                <w:sz w:val="16"/>
              </w:rPr>
              <w:t>تم توثيق سبب عدم اختيار الإحالة الأعلى، ومن المسؤول عن المتابعة وتأكيد الوصول.</w:t>
            </w:r>
          </w:p>
        </w:tc>
      </w:tr>
      <w:tr>
        <w:tc>
          <w:tcPr>
            <w:tcW w:type="dxa" w:w="680"/>
            <w:vAlign w:val="center"/>
          </w:tcPr>
          <w:p>
            <w:pPr>
              <w:jc w:val="right"/>
              <w:bidi/>
            </w:pPr>
            <w:r>
              <w:rPr>
                <w:rFonts w:ascii="Noto Sans Arabic" w:hAnsi="Noto Sans Arabic" w:cs="Noto Sans Arabic"/>
                <w:sz w:val="16"/>
              </w:rPr>
              <w:t>قاعدة حاكمة</w:t>
            </w:r>
          </w:p>
        </w:tc>
        <w:tc>
          <w:tcPr>
            <w:tcW w:type="dxa" w:w="8504"/>
            <w:vAlign w:val="center"/>
          </w:tcPr>
          <w:p>
            <w:pPr>
              <w:jc w:val="right"/>
              <w:bidi/>
            </w:pPr>
            <w:r>
              <w:rPr>
                <w:rFonts w:ascii="Noto Sans Arabic" w:hAnsi="Noto Sans Arabic" w:cs="Noto Sans Arabic"/>
                <w:sz w:val="16"/>
              </w:rPr>
              <w:t>إذا كان أي شرط غير متحقق أو غير معروف، لا يُستخدم خيار المتابعة المكثفة لتجاوز الإحالة الأعلى.</w:t>
            </w:r>
          </w:p>
        </w:tc>
      </w:tr>
    </w:tbl>
    <w:p>
      <w:pPr>
        <w:bidi w:val="1"/>
        <w:spacing w:after="40"/>
        <w:jc w:val="right"/>
      </w:pPr>
    </w:p>
    <w:tbl>
      <w:tblPr>
        <w:tblW w:type="auto" w:w="0"/>
        <w:jc w:val="center"/>
        <w:tblLayout w:type="autofit"/>
        <w:tblLook w:firstColumn="1" w:firstRow="1" w:lastColumn="0" w:lastRow="0" w:noHBand="0" w:noVBand="1" w:val="04A0"/>
      </w:tblPr>
      <w:tblGrid>
        <w:gridCol w:w="5184"/>
        <w:gridCol w:w="5184"/>
      </w:tblGrid>
      <w:tr>
        <w:trPr>
          <w:tblHeader w:val="true"/>
        </w:trPr>
        <w:tc>
          <w:tcPr>
            <w:tcW w:type="dxa" w:w="10368"/>
            <w:gridSpan w:val="2"/>
            <w:shd w:fill="D9E8E6"/>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color w:val="FFFFFF"/>
                <w:sz w:val="16"/>
                <w:rtl w:val="1"/>
              </w:rPr>
              <w:t>اعتماد وتوقيع</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اسم الموثّق</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الصفة المهنية</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التوقيع</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r>
        <w:trPr>
          <w:trHeight w:hRule="atLeast" w:val="490"/>
        </w:trPr>
        <w:tc>
          <w:tcPr>
            <w:tcW w:type="dxa" w:w="2304"/>
            <w:shd w:fill="EAF1EE"/>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b/>
                <w:sz w:val="16"/>
                <w:rtl w:val="1"/>
              </w:rPr>
              <w:t>التاريخ والوقت</w:t>
            </w:r>
          </w:p>
        </w:tc>
        <w:tc>
          <w:tcPr>
            <w:tcW w:type="dxa" w:w="8208"/>
            <w:shd w:fill="FFFFFF"/>
            <w:tcBorders>
              <w:top w:val="single" w:sz="3" w:color="C6D5CF"/>
              <w:left w:val="single" w:sz="3" w:color="C6D5CF"/>
              <w:bottom w:val="single" w:sz="3" w:color="C6D5CF"/>
              <w:right w:val="single" w:sz="3" w:color="C6D5CF"/>
            </w:tcBorders>
            <w:bidiVisual w:val="1"/>
            <w:vAlign w:val="center"/>
            <w:tcMar>
              <w:top w:w="80" w:type="dxa"/>
              <w:start w:w="90" w:type="dxa"/>
              <w:bottom w:w="80" w:type="dxa"/>
              <w:end w:w="90" w:type="dxa"/>
            </w:tcMar>
          </w:tcPr>
          <w:p>
            <w:pPr>
              <w:spacing w:after="0" w:before="0" w:line="240" w:lineRule="auto"/>
              <w:jc w:val="right"/>
              <w:bidi w:val="1"/>
            </w:pPr>
            <w:r>
              <w:rPr>
                <w:rFonts w:ascii="Noto Sans Arabic" w:hAnsi="Noto Sans Arabic" w:cs="Noto Sans Arabic" w:eastAsia="Noto Naskh Arabic"/>
                <w:color w:val="666666"/>
                <w:sz w:val="16"/>
                <w:rtl w:val="1"/>
              </w:rPr>
              <w:t>................................................................................</w:t>
            </w:r>
          </w:p>
        </w:tc>
      </w:tr>
    </w:tbl>
    <w:p>
      <w:pPr>
        <w:bidi w:val="1"/>
        <w:spacing w:after="40"/>
        <w:jc w:val="right"/>
      </w:pPr>
    </w:p>
    <w:p>
      <w:pPr>
        <w:spacing w:after="40"/>
        <w:jc w:val="right"/>
        <w:bidi w:val="1"/>
      </w:pPr>
      <w:r>
        <w:rPr>
          <w:rFonts w:ascii="Noto Sans Arabic" w:hAnsi="Noto Sans Arabic" w:cs="Noto Sans Arabic" w:eastAsia="Noto Naskh Arabic"/>
          <w:b/>
          <w:color w:val="24322E"/>
          <w:sz w:val="17"/>
          <w:rtl w:val="1"/>
        </w:rPr>
        <w:t xml:space="preserve">مرجعية التصميم: </w:t>
      </w:r>
      <w:hyperlink r:id="rId11">
        <w:r>
          <w:rPr>
            <w:color w:val="365E54"/>
            <w:u w:val="single"/>
            <w:rFonts w:ascii="Noto Naskh Arabic" w:hAnsi="Noto Naskh Arabic" w:cs="Noto Naskh Arabic"/>
            <w:rtl w:val="1"/>
          </w:rPr>
          <w:t>الجمعية الأمريكية للطب النفسي APA — Telepsychiatry Toolkit: Patient Safety and Emergency Management</w:t>
        </w:r>
      </w:hyperlink>
      <w:r>
        <w:rPr>
          <w:rFonts w:ascii="Noto Sans Arabic" w:hAnsi="Noto Sans Arabic" w:cs="Noto Sans Arabic" w:eastAsia="Noto Naskh Arabic"/>
          <w:sz w:val="17"/>
          <w:rtl w:val="1"/>
        </w:rPr>
        <w:t xml:space="preserve">؛ </w:t>
      </w:r>
      <w:hyperlink r:id="rId12">
        <w:r>
          <w:rPr>
            <w:color w:val="365E54"/>
            <w:u w:val="single"/>
            <w:rFonts w:ascii="Noto Naskh Arabic" w:hAnsi="Noto Naskh Arabic" w:cs="Noto Naskh Arabic"/>
            <w:rtl w:val="1"/>
          </w:rPr>
          <w:t>APA/ATA — Best Practices in Videoconferencing-Based Telemental Health</w:t>
        </w:r>
      </w:hyperlink>
    </w:p>
    <w:p>
      <w:pPr>
        <w:jc w:val="right"/>
        <w:bidi/>
      </w:pPr>
      <w:r>
        <w:rPr>
          <w:rFonts w:ascii="Noto Sans Arabic" w:hAnsi="Noto Sans Arabic" w:cs="Noto Sans Arabic"/>
          <w:b w:val="0"/>
          <w:sz w:val="16"/>
        </w:rPr>
        <w:t>حقوق الاستخدام: يسمح بالاستخدام السريري الداخلي غير التجاري مع الحفاظ على اسم المصدر ورقم الإصدار. لا يسمح بإعادة البيع أو النشر المعدل أو تقديم الأداة بوصفها معتمدة من جهة خارجية دون إذن مكتوب. يتحمل المستخدم مسؤولية التكييف المحلي والتحقق من ملاءمتها.</w:t>
      </w:r>
    </w:p>
    <w:sectPr w:rsidR="00FC693F" w:rsidRPr="0006063C" w:rsidSect="00034616">
      <w:headerReference w:type="default" r:id="rId9"/>
      <w:footerReference w:type="default" r:id="rId10"/>
      <w:headerReference w:type="first" r:id="rId13"/>
      <w:footerReference w:type="first" r:id="rId14"/>
      <w:headerReference w:type="even" r:id="rId15"/>
      <w:footerReference w:type="even" r:id="rId16"/>
      <w:pgSz w:w="11906" w:h="16838"/>
      <w:pgMar w:top="680" w:right="680" w:bottom="737" w:left="680" w:header="340"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Sans Arabic" w:hAnsi="Noto Sans Arabic" w:cs="Noto Sans Arabic" w:eastAsia="Noto Naskh Arabic"/>
        <w:b w:val="0"/>
        <w:color w:val="666666"/>
        <w:sz w:val="16"/>
        <w:rtl w:val="1"/>
      </w:rPr>
      <w:t>© 2026 عيادة الدكتور خالد النفسية | الإصدار 1.2.0 | استخدام مهني مضبوط وخاضع للمراجعة | www.drkhalidmentalhealth.com</w:t>
    </w:r>
    <w:r>
      <w:rPr>
        <w:rFonts w:ascii="Noto Sans Arabic" w:hAnsi="Noto Sans Arabic" w:cs="Noto Sans Arabic" w:eastAsia="Noto Naskh Arabic"/>
        <w:color w:val="666666"/>
        <w:sz w:val="17"/>
        <w:rtl w:val="1"/>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Noto Naskh Arabic" w:hAnsi="Noto Naskh Arabic" w:cs="Noto Naskh Arabic" w:eastAsia="Noto Naskh Arabic"/>
        <w:b/>
        <w:color w:val="365E54"/>
        <w:sz w:val="17"/>
        <w:rtl w:val="1"/>
      </w:rPr>
      <w:t>عيادة الدكتور خالد النفسية  |  مساحة المختصين  |  المكتبة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bidi w:val="1"/>
    </w:pPr>
    <w:rPr>
      <w:rFonts w:ascii="Noto Naskh Arabic" w:hAnsi="Noto Naskh Arabic" w:cs="Noto Naskh Arabic"/>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20" w:after="80"/>
      <w:outlineLvl w:val="0"/>
      <w:bidi w:val="1"/>
    </w:pPr>
    <w:rPr>
      <w:rFonts w:asciiTheme="majorHAnsi" w:eastAsiaTheme="majorEastAsia" w:hAnsiTheme="majorHAnsi" w:cstheme="majorBidi" w:ascii="Noto Sans Arabic" w:hAnsi="Noto Sans Arabic" w:cs="Noto Sans Arabic"/>
      <w:b/>
      <w:bCs/>
      <w:color w:val="24322E"/>
      <w:sz w:val="32"/>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bidi w:val="1"/>
    </w:pPr>
    <w:rPr>
      <w:rFonts w:asciiTheme="majorHAnsi" w:eastAsiaTheme="majorEastAsia" w:hAnsiTheme="majorHAnsi" w:cstheme="majorBidi" w:ascii="Noto Sans Arabic" w:hAnsi="Noto Sans Arabic" w:cs="Noto Sans Arabic"/>
      <w:b/>
      <w:bCs/>
      <w:color w:val="365E54"/>
      <w:sz w:val="26"/>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bidi w:val="1"/>
    </w:pPr>
    <w:rPr>
      <w:rFonts w:asciiTheme="majorHAnsi" w:eastAsiaTheme="majorEastAsia" w:hAnsiTheme="majorHAnsi" w:cstheme="majorBidi" w:ascii="Noto Sans Arabic" w:hAnsi="Noto Sans Arabic" w:cs="Noto Sans Arabic"/>
      <w:b/>
      <w:bCs/>
      <w:color w:val="24322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20"/>
      <w:contextualSpacing/>
      <w:bidi w:val="1"/>
    </w:pPr>
    <w:rPr>
      <w:rFonts w:asciiTheme="majorHAnsi" w:eastAsiaTheme="majorEastAsia" w:hAnsiTheme="majorHAnsi" w:cstheme="majorBidi" w:ascii="Noto Sans Arabic" w:hAnsi="Noto Sans Arabic" w:cs="Noto Sans Arabic"/>
      <w:b/>
      <w:color w:val="24322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spacing w:after="20"/>
      <w:bidi w:val="1"/>
    </w:pPr>
    <w:rPr>
      <w:rFonts w:ascii="Noto Sans Arabic" w:hAnsi="Noto Sans Arabic" w:cs="Noto Sans Arabic"/>
      <w:b/>
      <w:color w:val="24322E"/>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psychiatry.org/psychiatrists/practice/telepsychiatry/toolkit/patient-safety-and-emergency-management" TargetMode="External"/><Relationship Id="rId12" Type="http://schemas.openxmlformats.org/officeDocument/2006/relationships/hyperlink" Target="https://www.psychiatry.org/getmedia/05b9b9cb-dbb5-4df8-8948-e2b9bd659b55/APA-ATA-Best-Practices-in-Videoconferencing-Based-Telemental-Health.pdf" TargetMode="Externa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مؤشرات الإحالة الطبية أو النفسية العاجلة</dc:title>
  <dc:subject>Controlled internal professional clinical documentation toolkit - version 1.2.0</dc:subject>
  <dc:creator>Dr. Khalid Mental Health Clinic</dc:creator>
  <cp:keywords>telepsychiatry, medication safety, clinical documentation, risk escalation, Sudan</cp:keywords>
  <dc:description>Internal professional release; not external regulatory or academic accreditation.</dc:description>
  <cp:lastModifiedBy>Dr. Khalid Mental Health Clinic</cp:lastModifiedBy>
  <cp:revision>1</cp:revision>
  <dcterms:created xsi:type="dcterms:W3CDTF">2026-08-02T11:27:00Z</dcterms:created>
  <dcterms:modified xsi:type="dcterms:W3CDTF">2026-08-02T11:27:00Z</dcterms:modified>
  <cp:category/>
</cp:coreProperties>
</file>