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jc w:val="right"/>
        <w:bidi w:val="1"/>
      </w:pPr>
      <w:r>
        <w:rPr>
          <w:rFonts w:ascii="Noto Sans Arabic" w:hAnsi="Noto Sans Arabic" w:cs="Noto Sans Arabic" w:eastAsia="Noto Sans Arabic"/>
          <w:b/>
          <w:sz w:val="44"/>
          <w:rtl w:val="1"/>
        </w:rPr>
        <w:t>نموذج توثيق جلسة نفسية عن بُعد</w:t>
      </w:r>
    </w:p>
    <w:p>
      <w:pPr>
        <w:spacing w:after="40"/>
        <w:jc w:val="right"/>
        <w:bidi w:val="1"/>
      </w:pPr>
      <w:r>
        <w:rPr>
          <w:rFonts w:ascii="Noto Sans Arabic" w:hAnsi="Noto Sans Arabic" w:cs="Noto Sans Arabic" w:eastAsia="Noto Naskh Arabic"/>
          <w:color w:val="365E54"/>
          <w:sz w:val="22"/>
          <w:rtl w:val="1"/>
        </w:rPr>
        <w:t>توثيق سريري منظم يشمل الهوية والموقع والخصوصية والمخاطر وحدود التقييم</w:t>
      </w:r>
    </w:p>
    <w:p>
      <w:pPr>
        <w:spacing w:after="40"/>
        <w:jc w:val="right"/>
        <w:bidi w:val="1"/>
      </w:pPr>
      <w:r>
        <w:rPr>
          <w:rFonts w:ascii="Noto Sans Arabic" w:hAnsi="Noto Sans Arabic" w:cs="Noto Sans Arabic" w:eastAsia="Noto Naskh Arabic"/>
          <w:color w:val="666666"/>
          <w:sz w:val="17"/>
        </w:rPr>
        <w:t>رمز النموذج: DKMH-LIB-TP-01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80" w:type="dxa"/>
              <w:start w:w="90" w:type="dxa"/>
              <w:bottom w:w="80" w:type="dxa"/>
              <w:end w:w="90" w:type="dxa"/>
            </w:tcMar>
            <w:vAlign w:val="center"/>
          </w:tcPr>
          <w:p>
            <w:pPr>
              <w:bidi w:val="1"/>
              <w:spacing w:after="0" w:before="0" w:line="240" w:lineRule="auto"/>
              <w:jc w:val="right"/>
            </w:pPr>
          </w:p>
        </w:tc>
      </w:tr>
    </w:tbl>
    <w:p>
      <w:pPr>
        <w:bidi w:val="1"/>
        <w:spacing w:after="4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80" w:type="dxa"/>
              <w:start w:w="90" w:type="dxa"/>
              <w:bottom w:w="80" w:type="dxa"/>
              <w:end w:w="90"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حدود الاستخدام المهنية</w:t>
              <w:br/>
            </w:r>
            <w:r>
              <w:rPr>
                <w:rFonts w:ascii="Noto Sans Arabic" w:hAnsi="Noto Sans Arabic" w:cs="Noto Sans Arabic" w:eastAsia="Noto Naskh Arabic"/>
                <w:b/>
                <w:sz w:val="16"/>
                <w:rtl w:val="1"/>
              </w:rPr>
              <w:t>ينطبق معيار الرعاية المهنية نفسه على الجلسة عن بُعد مع توثيق القيود التقنية والمكانية. يجب معرفة موقع المراجع ووسيلة الاتصال البديلة في بداية اللقاء، لا بعد ظهور الطوارئ.</w:t>
            </w:r>
          </w:p>
        </w:tc>
      </w:tr>
    </w:tbl>
    <w:tbl>
      <w:tblPr>
        <w:tblW w:type="auto" w:w="0"/>
        <w:jc w:val="center"/>
        <w:tblLook w:firstColumn="1" w:firstRow="1" w:lastColumn="0" w:lastRow="0" w:noHBand="0" w:noVBand="1" w:val="04A0"/>
      </w:tblPr>
      <w:tblGrid>
        <w:gridCol w:w="5273"/>
        <w:gridCol w:w="5273"/>
      </w:tblGrid>
      <w:tr>
        <w:trPr>
          <w:tblHeader w:val="true"/>
        </w:trPr>
        <w:tc>
          <w:tcPr>
            <w:tcW w:type="dxa" w:w="9184"/>
            <w:vAlign w:val="center"/>
            <w:gridSpan w:val="2"/>
            <w:shd w:fill="D9E8E6"/>
          </w:tcPr>
          <w:p>
            <w:pPr>
              <w:jc w:val="right"/>
              <w:bidi/>
            </w:pPr>
            <w:r>
              <w:rPr>
                <w:rFonts w:ascii="Noto Sans Arabic" w:hAnsi="Noto Sans Arabic" w:cs="Noto Sans Arabic"/>
                <w:b/>
                <w:sz w:val="16"/>
              </w:rPr>
              <w:t>ضبط المستند والحوكمة</w:t>
            </w:r>
          </w:p>
        </w:tc>
      </w:tr>
      <w:tr>
        <w:tc>
          <w:tcPr>
            <w:tcW w:type="dxa" w:w="2381"/>
            <w:vAlign w:val="center"/>
          </w:tcPr>
          <w:p>
            <w:pPr>
              <w:jc w:val="right"/>
              <w:bidi/>
            </w:pPr>
            <w:r>
              <w:rPr>
                <w:rFonts w:ascii="Noto Sans Arabic" w:hAnsi="Noto Sans Arabic" w:cs="Noto Sans Arabic"/>
                <w:sz w:val="16"/>
              </w:rPr>
              <w:t>الجهة المالكة</w:t>
            </w:r>
          </w:p>
        </w:tc>
        <w:tc>
          <w:tcPr>
            <w:tcW w:type="dxa" w:w="6803"/>
            <w:vAlign w:val="center"/>
          </w:tcPr>
          <w:p>
            <w:pPr>
              <w:jc w:val="right"/>
              <w:bidi/>
            </w:pPr>
            <w:r>
              <w:rPr>
                <w:rFonts w:ascii="Noto Sans Arabic" w:hAnsi="Noto Sans Arabic" w:cs="Noto Sans Arabic"/>
                <w:sz w:val="16"/>
              </w:rPr>
              <w:t>عيادة الدكتور خالد النفسية</w:t>
            </w:r>
          </w:p>
        </w:tc>
      </w:tr>
      <w:tr>
        <w:tc>
          <w:tcPr>
            <w:tcW w:type="dxa" w:w="2381"/>
            <w:vAlign w:val="center"/>
          </w:tcPr>
          <w:p>
            <w:pPr>
              <w:jc w:val="right"/>
              <w:bidi/>
            </w:pPr>
            <w:r>
              <w:rPr>
                <w:rFonts w:ascii="Noto Sans Arabic" w:hAnsi="Noto Sans Arabic" w:cs="Noto Sans Arabic"/>
                <w:sz w:val="16"/>
              </w:rPr>
              <w:t>المسؤول عن المحتوى السريري</w:t>
            </w:r>
          </w:p>
        </w:tc>
        <w:tc>
          <w:tcPr>
            <w:tcW w:type="dxa" w:w="6803"/>
            <w:vAlign w:val="center"/>
          </w:tcPr>
          <w:p>
            <w:pPr>
              <w:jc w:val="right"/>
              <w:bidi/>
            </w:pPr>
            <w:r>
              <w:rPr>
                <w:rFonts w:ascii="Noto Sans Arabic" w:hAnsi="Noto Sans Arabic" w:cs="Noto Sans Arabic"/>
                <w:sz w:val="16"/>
              </w:rPr>
              <w:t>د. خالد حسن أحمد حسن — طبيب ومؤسس عيادة الدكتور خالد النفسية | الطب النفسي عن بُعد وخدمات الصحة النفسية المجتمعية</w:t>
            </w:r>
          </w:p>
        </w:tc>
      </w:tr>
      <w:tr>
        <w:tc>
          <w:tcPr>
            <w:tcW w:type="dxa" w:w="2381"/>
            <w:vAlign w:val="center"/>
          </w:tcPr>
          <w:p>
            <w:pPr>
              <w:jc w:val="right"/>
              <w:bidi/>
            </w:pPr>
            <w:r>
              <w:rPr>
                <w:rFonts w:ascii="Noto Sans Arabic" w:hAnsi="Noto Sans Arabic" w:cs="Noto Sans Arabic"/>
                <w:sz w:val="16"/>
              </w:rPr>
              <w:t>حالة الإصدار</w:t>
            </w:r>
          </w:p>
        </w:tc>
        <w:tc>
          <w:tcPr>
            <w:tcW w:type="dxa" w:w="6803"/>
            <w:vAlign w:val="center"/>
          </w:tcPr>
          <w:p>
            <w:pPr>
              <w:jc w:val="right"/>
              <w:bidi/>
            </w:pPr>
            <w:r>
              <w:rPr>
                <w:rFonts w:ascii="Noto Sans Arabic" w:hAnsi="Noto Sans Arabic" w:cs="Noto Sans Arabic"/>
                <w:sz w:val="16"/>
              </w:rPr>
              <w:t>مراجعة داخلية مهنية. لا يمثل هذا الوصف اعتماداً تنظيمياً أو أكاديمياً خارجياً.</w:t>
            </w:r>
          </w:p>
        </w:tc>
      </w:tr>
      <w:tr>
        <w:tc>
          <w:tcPr>
            <w:tcW w:type="dxa" w:w="2381"/>
            <w:vAlign w:val="center"/>
          </w:tcPr>
          <w:p>
            <w:pPr>
              <w:jc w:val="right"/>
              <w:bidi/>
            </w:pPr>
            <w:r>
              <w:rPr>
                <w:rFonts w:ascii="Noto Sans Arabic" w:hAnsi="Noto Sans Arabic" w:cs="Noto Sans Arabic"/>
                <w:sz w:val="16"/>
              </w:rPr>
              <w:t>نطاق الاستخدام</w:t>
            </w:r>
          </w:p>
        </w:tc>
        <w:tc>
          <w:tcPr>
            <w:tcW w:type="dxa" w:w="6803"/>
            <w:vAlign w:val="center"/>
          </w:tcPr>
          <w:p>
            <w:pPr>
              <w:jc w:val="right"/>
              <w:bidi/>
            </w:pPr>
            <w:r>
              <w:rPr>
                <w:rFonts w:ascii="Noto Sans Arabic" w:hAnsi="Noto Sans Arabic" w:cs="Noto Sans Arabic"/>
                <w:sz w:val="16"/>
              </w:rPr>
              <w:t>أداة توثيق ودعم قرار للممارسين المؤهلين، مع ضرورة التكييف حسب القوانين ونطاق الممارسة والبروتوكولات المحلية.</w:t>
            </w:r>
          </w:p>
        </w:tc>
      </w:tr>
      <w:tr>
        <w:tc>
          <w:tcPr>
            <w:tcW w:type="dxa" w:w="2381"/>
            <w:vAlign w:val="center"/>
          </w:tcPr>
          <w:p>
            <w:pPr>
              <w:jc w:val="right"/>
              <w:bidi/>
            </w:pPr>
            <w:r>
              <w:rPr>
                <w:rFonts w:ascii="Noto Sans Arabic" w:hAnsi="Noto Sans Arabic" w:cs="Noto Sans Arabic"/>
                <w:sz w:val="16"/>
              </w:rPr>
              <w:t>دورة المراجعة</w:t>
            </w:r>
          </w:p>
        </w:tc>
        <w:tc>
          <w:tcPr>
            <w:tcW w:type="dxa" w:w="6803"/>
            <w:vAlign w:val="center"/>
          </w:tcPr>
          <w:p>
            <w:pPr>
              <w:jc w:val="right"/>
              <w:bidi/>
            </w:pPr>
            <w:r>
              <w:rPr>
                <w:rFonts w:ascii="Noto Sans Arabic" w:hAnsi="Noto Sans Arabic" w:cs="Noto Sans Arabic"/>
                <w:sz w:val="16"/>
              </w:rPr>
              <w:t>كل 6 أشهر أو عند تغير جوهري في الدليل أو التنظيم أو السلامة.</w:t>
            </w:r>
          </w:p>
        </w:tc>
      </w:tr>
      <w:tr>
        <w:tc>
          <w:tcPr>
            <w:tcW w:type="dxa" w:w="2381"/>
            <w:vAlign w:val="center"/>
          </w:tcPr>
          <w:p>
            <w:pPr>
              <w:jc w:val="right"/>
              <w:bidi/>
            </w:pPr>
            <w:r>
              <w:rPr>
                <w:rFonts w:ascii="Noto Sans Arabic" w:hAnsi="Noto Sans Arabic" w:cs="Noto Sans Arabic"/>
                <w:sz w:val="16"/>
              </w:rPr>
              <w:t>الإبلاغ عن خطأ أو طلب سحب نسخة</w:t>
            </w:r>
          </w:p>
        </w:tc>
        <w:tc>
          <w:tcPr>
            <w:tcW w:type="dxa" w:w="6803"/>
            <w:vAlign w:val="center"/>
          </w:tcPr>
          <w:p>
            <w:pPr>
              <w:jc w:val="right"/>
              <w:bidi/>
            </w:pPr>
            <w:r>
              <w:rPr>
                <w:rFonts w:ascii="Noto Sans Arabic" w:hAnsi="Noto Sans Arabic" w:cs="Noto Sans Arabic"/>
                <w:sz w:val="16"/>
              </w:rPr>
              <w:t>عبر صفحة الحوكمة والشكاوى بالموقع الرسمي، مع ذكر رمز النموذج ورقم الإصدار.</w:t>
            </w:r>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الجلسة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6_F001"/>
                <w:alias w:val="DKMH_06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التاريخ</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6_F002"/>
                <w:alias w:val="DKMH_06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وقت البداية والنهاية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6_F003"/>
                <w:alias w:val="DKMH_06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نوع اللقاء</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تقييم أولي  ☐ متابعة  ☐ علاج نفسي  ☐ مراجعة دوائية (للواصف فقط)  ☐ أسرة/طرف ثالث</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المنصة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6_F004"/>
                <w:alias w:val="DKMH_06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الممارس وصفته</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6_F005"/>
                <w:alias w:val="DKMH_06_F005"/>
                <w:text/>
              </w:sdtPr>
              <w:sdtContent>
                <w:r>
                  <w:rPr>
                    <w:rFonts w:ascii="Noto Naskh Arabic" w:hAnsi="Noto Naskh Arabic" w:cs="Noto Naskh Arabic" w:eastAsia="Noto Naskh Arabic"/>
                    <w:color w:val="666666"/>
                    <w:sz w:val="18"/>
                    <w:rtl w:val="1"/>
                  </w:rPr>
                  <w:t>[اكتب هنا]</w:t>
                </w:r>
              </w:sdtContent>
            </w:sdt>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أ. تحقق ما قبل بدء المحتوى السريري</w:t>
      </w:r>
    </w:p>
    <w:tbl>
      <w:tblPr>
        <w:tblW w:type="auto" w:w="0"/>
        <w:jc w:val="center"/>
        <w:tblLayout w:type="autofit"/>
        <w:tblLook w:firstColumn="1" w:firstRow="1" w:lastColumn="0" w:lastRow="0" w:noHBand="0" w:noVBand="1" w:val="04A0"/>
      </w:tblPr>
      <w:tblGrid>
        <w:gridCol w:w="3456"/>
        <w:gridCol w:w="3456"/>
        <w:gridCol w:w="3456"/>
      </w:tblGrid>
      <w:tr>
        <w:trPr>
          <w:tblHeader w:val="true"/>
        </w:trPr>
        <w:tc>
          <w:tcPr>
            <w:tcW w:type="dxa" w:w="576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البند</w:t>
            </w:r>
          </w:p>
        </w:tc>
        <w:tc>
          <w:tcPr>
            <w:tcW w:type="dxa" w:w="936"/>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تم</w:t>
            </w:r>
          </w:p>
        </w:tc>
        <w:tc>
          <w:tcPr>
            <w:tcW w:type="dxa" w:w="4104"/>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التفاصيل</w:t>
            </w:r>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التحقق من هوية المراجع</w:t>
            </w:r>
          </w:p>
        </w:tc>
        <w:tc>
          <w:tcPr>
            <w:tcW w:type="dxa" w:w="93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10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06"/>
                <w:alias w:val="DKMH_06_F00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تأكيد الدولة والمدينة/الولاية والموقع الحالي والعنوان أو الوصف الكافي للطوارئ</w:t>
            </w:r>
          </w:p>
        </w:tc>
        <w:tc>
          <w:tcPr>
            <w:tcW w:type="dxa" w:w="93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10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07"/>
                <w:alias w:val="DKMH_06_F00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رقم اتصال بديل عند انقطاع الإنترنت</w:t>
            </w:r>
          </w:p>
        </w:tc>
        <w:tc>
          <w:tcPr>
            <w:tcW w:type="dxa" w:w="93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10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08"/>
                <w:alias w:val="DKMH_06_F008"/>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بيانات شخص موثوق عند الملاءمة وبموافقة المراجع</w:t>
            </w:r>
          </w:p>
        </w:tc>
        <w:tc>
          <w:tcPr>
            <w:tcW w:type="dxa" w:w="93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10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09"/>
                <w:alias w:val="DKMH_06_F00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تأكيد الخصوصية وأسماء الموجودين في المكان وموافقة المراجع على وجودهم</w:t>
            </w:r>
          </w:p>
        </w:tc>
        <w:tc>
          <w:tcPr>
            <w:tcW w:type="dxa" w:w="93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10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10"/>
                <w:alias w:val="DKMH_06_F010"/>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الموافقة على الرعاية عن بُعد وحدودها</w:t>
            </w:r>
          </w:p>
        </w:tc>
        <w:tc>
          <w:tcPr>
            <w:tcW w:type="dxa" w:w="93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r>
              <w:t>☐ مكتوبة  ☐ إلكترونية  ☐ شفهية موثقة  ☐ تعذر أخذها بسبب طارئ/عجز</w:t>
            </w:r>
          </w:p>
        </w:tc>
        <w:tc>
          <w:tcPr>
            <w:tcW w:type="dxa" w:w="410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11"/>
                <w:alias w:val="DKMH_06_F01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جودة الصورة والصوت كافية للتقييم</w:t>
            </w:r>
          </w:p>
        </w:tc>
        <w:tc>
          <w:tcPr>
            <w:tcW w:type="dxa" w:w="93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10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12"/>
                <w:alias w:val="DKMH_06_F012"/>
                <w:text/>
              </w:sdtPr>
              <w:sdtContent>
                <w:r>
                  <w:rPr>
                    <w:rFonts w:ascii="Noto Naskh Arabic" w:hAnsi="Noto Naskh Arabic" w:cs="Noto Naskh Arabic" w:eastAsia="Noto Naskh Arabic"/>
                    <w:color w:val="333333"/>
                    <w:sz w:val="17"/>
                    <w:rtl w:val="1"/>
                  </w:rPr>
                  <w:t>[اكتب هنا]</w:t>
                </w:r>
              </w:sdtContent>
            </w:sdt>
          </w:p>
        </w:tc>
      </w:tr>
      <w:tr>
        <w:tc>
          <w:tcPr>
            <w:tcW w:type="dxa" w:w="3456"/>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ملاءمة تقديم الخدمة في الاختصاص المكاني الحالي</w:t>
            </w:r>
          </w:p>
        </w:tc>
        <w:tc>
          <w:tcPr>
            <w:tcW w:type="dxa" w:w="3456"/>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w:t>
            </w:r>
          </w:p>
        </w:tc>
        <w:tc>
          <w:tcPr>
            <w:tcW w:type="dxa" w:w="3456"/>
            <w:vAlign w:val="center"/>
            <w:tcMar>
              <w:top w:w="80" w:type="dxa"/>
              <w:start w:w="90" w:type="dxa"/>
              <w:bottom w:w="80" w:type="dxa"/>
              <w:end w:w="90" w:type="dxa"/>
            </w:tcMar>
          </w:tcPr>
          <w:p>
            <w:pPr>
              <w:spacing w:after="0" w:before="0" w:line="240" w:lineRule="auto"/>
              <w:jc w:val="right"/>
              <w:bidi w:val="1"/>
            </w:pPr>
            <w:sdt>
              <w:sdtPr>
                <w:tag w:val="DKMH_06_F013"/>
                <w:alias w:val="DKMH_06_F013"/>
                <w:text/>
              </w:sdtPr>
              <w:sdtContent>
                <w:r>
                  <w:rPr>
                    <w:rFonts w:ascii="Noto Naskh Arabic" w:hAnsi="Noto Naskh Arabic" w:cs="Noto Naskh Arabic" w:eastAsia="Noto Naskh Arabic"/>
                    <w:b w:val="0"/>
                    <w:sz w:val="17"/>
                  </w:rPr>
                  <w:t>[اكتب هنا]</w:t>
                </w:r>
              </w:sdtContent>
            </w:sdt>
          </w:p>
        </w:tc>
      </w:tr>
      <w:tr>
        <w:tc>
          <w:tcPr>
            <w:tcW w:type="dxa" w:w="3456"/>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تسجيل الجلسة</w:t>
            </w:r>
          </w:p>
        </w:tc>
        <w:tc>
          <w:tcPr>
            <w:tcW w:type="dxa" w:w="3456"/>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لا يوجد تسجيل  ☐ يوجد بموافقة موثقة</w:t>
            </w:r>
          </w:p>
        </w:tc>
        <w:tc>
          <w:tcPr>
            <w:tcW w:type="dxa" w:w="3456"/>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التفاصيل: </w:t>
            </w:r>
            <w:sdt>
              <w:sdtPr>
                <w:tag w:val="DKMH_06_F014"/>
                <w:alias w:val="DKMH_06_F014"/>
                <w:text/>
              </w:sdtPr>
              <w:sdtContent>
                <w:r>
                  <w:rPr>
                    <w:rFonts w:ascii="Noto Naskh Arabic" w:hAnsi="Noto Naskh Arabic" w:cs="Noto Naskh Arabic" w:eastAsia="Noto Naskh Arabic"/>
                    <w:b w:val="0"/>
                    <w:sz w:val="17"/>
                  </w:rPr>
                  <w:t>[اكتب هنا]</w:t>
                </w:r>
              </w:sdtContent>
            </w:sdt>
          </w:p>
        </w:tc>
      </w:tr>
    </w:tbl>
    <w:p>
      <w:pPr>
        <w:bidi w:val="1"/>
        <w:spacing w:after="40"/>
        <w:jc w:val="right"/>
      </w:pPr>
    </w:p>
    <w:p>
      <w:pPr>
        <w:pStyle w:val="FormLabel"/>
        <w:spacing w:after="40"/>
        <w:jc w:val="right"/>
        <w:bidi w:val="1"/>
      </w:pPr>
      <w:r>
        <w:rPr>
          <w:rFonts w:ascii="Noto Sans Arabic" w:hAnsi="Noto Sans Arabic" w:cs="Noto Sans Arabic" w:eastAsia="Noto Naskh Arabic"/>
          <w:sz w:val="19"/>
          <w:rtl w:val="1"/>
        </w:rPr>
        <w:t>سبب اللقاء والأهداف المتفق عليها</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40"/>
        <w:jc w:val="right"/>
      </w:pPr>
    </w:p>
    <w:p>
      <w:pPr>
        <w:pStyle w:val="FormLabel"/>
        <w:spacing w:after="40"/>
        <w:jc w:val="right"/>
        <w:bidi w:val="1"/>
      </w:pPr>
      <w:r>
        <w:rPr>
          <w:rFonts w:ascii="Noto Sans Arabic" w:hAnsi="Noto Sans Arabic" w:cs="Noto Sans Arabic" w:eastAsia="Noto Naskh Arabic"/>
          <w:sz w:val="19"/>
          <w:rtl w:val="1"/>
        </w:rPr>
        <w:t>التغير منذ اللقاء السابق/التاريخ الحالي للأعراض</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ب. الفحص العقلي المناسب عن بُعد</w:t>
      </w: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360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المجال</w:t>
            </w:r>
          </w:p>
        </w:tc>
        <w:tc>
          <w:tcPr>
            <w:tcW w:type="dxa" w:w="720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الملاحظة</w:t>
            </w:r>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المظهر والسلوك والتعاون</w:t>
            </w:r>
          </w:p>
        </w:tc>
        <w:tc>
          <w:tcPr>
            <w:tcW w:type="dxa" w:w="72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15"/>
                <w:alias w:val="DKMH_06_F015"/>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الكلام</w:t>
            </w:r>
          </w:p>
        </w:tc>
        <w:tc>
          <w:tcPr>
            <w:tcW w:type="dxa" w:w="72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16"/>
                <w:alias w:val="DKMH_06_F016"/>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المزاج والوجدان</w:t>
            </w:r>
          </w:p>
        </w:tc>
        <w:tc>
          <w:tcPr>
            <w:tcW w:type="dxa" w:w="72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17"/>
                <w:alias w:val="DKMH_06_F017"/>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مسار ومحتوى التفكير</w:t>
            </w:r>
          </w:p>
        </w:tc>
        <w:tc>
          <w:tcPr>
            <w:tcW w:type="dxa" w:w="72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18"/>
                <w:alias w:val="DKMH_06_F018"/>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الإدراك</w:t>
            </w:r>
          </w:p>
        </w:tc>
        <w:tc>
          <w:tcPr>
            <w:tcW w:type="dxa" w:w="72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19"/>
                <w:alias w:val="DKMH_06_F019"/>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الانتباه والتوجّه والذاكرة كما أمكن</w:t>
            </w:r>
          </w:p>
        </w:tc>
        <w:tc>
          <w:tcPr>
            <w:tcW w:type="dxa" w:w="72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20"/>
                <w:alias w:val="DKMH_06_F020"/>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الاستبصار والحكم</w:t>
            </w:r>
          </w:p>
        </w:tc>
        <w:tc>
          <w:tcPr>
            <w:tcW w:type="dxa" w:w="72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21"/>
                <w:alias w:val="DKMH_06_F021"/>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حدود الملاحظة بسبب الاتصال/الكاميرا/البيئة</w:t>
            </w:r>
          </w:p>
        </w:tc>
        <w:tc>
          <w:tcPr>
            <w:tcW w:type="dxa" w:w="72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22"/>
                <w:alias w:val="DKMH_06_F022"/>
                <w:text/>
              </w:sdtPr>
              <w:sdtContent>
                <w:r>
                  <w:rPr>
                    <w:rFonts w:ascii="Noto Naskh Arabic" w:hAnsi="Noto Naskh Arabic" w:cs="Noto Naskh Arabic" w:eastAsia="Noto Naskh Arabic"/>
                    <w:color w:val="333333"/>
                    <w:sz w:val="18"/>
                    <w:rtl w:val="1"/>
                  </w:rPr>
                  <w:t>[اكتب هنا]</w:t>
                </w:r>
              </w:sdtContent>
            </w:sdt>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ج. تقييم المخاطر</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304"/>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المجال</w:t>
            </w:r>
          </w:p>
        </w:tc>
        <w:tc>
          <w:tcPr>
            <w:tcW w:type="dxa" w:w="2376"/>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المعلومات الحالية</w:t>
            </w:r>
          </w:p>
        </w:tc>
        <w:tc>
          <w:tcPr>
            <w:tcW w:type="dxa" w:w="3311"/>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عوامل التصعيد والحماية</w:t>
            </w:r>
          </w:p>
        </w:tc>
        <w:tc>
          <w:tcPr>
            <w:tcW w:type="dxa" w:w="2736"/>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الصياغة والقرار السريري</w:t>
            </w:r>
          </w:p>
        </w:tc>
      </w:tr>
      <w:tr>
        <w:trPr>
          <w:trHeight w:hRule="atLeast" w:val="518"/>
        </w:trPr>
        <w:tc>
          <w:tcPr>
            <w:tcW w:type="dxa" w:w="230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إيذاء النفس/الانتحار</w:t>
            </w:r>
          </w:p>
        </w:tc>
        <w:tc>
          <w:tcPr>
            <w:tcW w:type="dxa" w:w="237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الأفكار الحالية، النية، الخطة، الوصول إلى الوسيلة، سلوك/محاولة حديثة: </w:t>
            </w:r>
            <w:sdt>
              <w:sdtPr>
                <w:tag w:val="DKMH_06_F023"/>
                <w:alias w:val="DKMH_06_F023"/>
                <w:text/>
              </w:sdtPr>
              <w:sdtContent>
                <w:r>
                  <w:rPr>
                    <w:rFonts w:ascii="Noto Naskh Arabic" w:hAnsi="Noto Naskh Arabic" w:cs="Noto Naskh Arabic" w:eastAsia="Noto Naskh Arabic"/>
                    <w:b w:val="0"/>
                    <w:sz w:val="17"/>
                  </w:rPr>
                  <w:t>[اكتب هنا]</w:t>
                </w:r>
              </w:sdtContent>
            </w:sdt>
          </w:p>
        </w:tc>
        <w:tc>
          <w:tcPr>
            <w:tcW w:type="dxa" w:w="331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عوامل التصعيد، الدعم، الحماية، والقدرة على المشاركة في خطوات أمان عملية: </w:t>
            </w:r>
            <w:sdt>
              <w:sdtPr>
                <w:tag w:val="DKMH_06_F024"/>
                <w:alias w:val="DKMH_06_F024"/>
                <w:text/>
              </w:sdtPr>
              <w:sdtContent>
                <w:r>
                  <w:rPr>
                    <w:rFonts w:ascii="Noto Naskh Arabic" w:hAnsi="Noto Naskh Arabic" w:cs="Noto Naskh Arabic" w:eastAsia="Noto Naskh Arabic"/>
                    <w:b w:val="0"/>
                    <w:sz w:val="17"/>
                  </w:rPr>
                  <w:t>[اكتب هنا]</w:t>
                </w:r>
              </w:sdtContent>
            </w:sdt>
          </w:p>
        </w:tc>
        <w:tc>
          <w:tcPr>
            <w:tcW w:type="dxa" w:w="273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25"/>
                <w:alias w:val="DKMH_06_F025"/>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30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إيذاء الآخرين</w:t>
            </w:r>
          </w:p>
        </w:tc>
        <w:tc>
          <w:tcPr>
            <w:tcW w:type="dxa" w:w="237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التهديد، النية، الخطة، الوسيلة، الاندفاع أو فقد السيطرة: </w:t>
            </w:r>
            <w:sdt>
              <w:sdtPr>
                <w:tag w:val="DKMH_06_F026"/>
                <w:alias w:val="DKMH_06_F026"/>
                <w:text/>
              </w:sdtPr>
              <w:sdtContent>
                <w:r>
                  <w:rPr>
                    <w:rFonts w:ascii="Noto Naskh Arabic" w:hAnsi="Noto Naskh Arabic" w:cs="Noto Naskh Arabic" w:eastAsia="Noto Naskh Arabic"/>
                    <w:b w:val="0"/>
                    <w:sz w:val="17"/>
                  </w:rPr>
                  <w:t>[اكتب هنا]</w:t>
                </w:r>
              </w:sdtContent>
            </w:sdt>
          </w:p>
        </w:tc>
        <w:tc>
          <w:tcPr>
            <w:tcW w:type="dxa" w:w="3311"/>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27"/>
                <w:alias w:val="DKMH_06_F027"/>
                <w:text/>
              </w:sdtPr>
              <w:sdtContent>
                <w:r>
                  <w:rPr>
                    <w:rFonts w:ascii="Noto Naskh Arabic" w:hAnsi="Noto Naskh Arabic" w:cs="Noto Naskh Arabic" w:eastAsia="Noto Naskh Arabic"/>
                    <w:b w:val="0"/>
                    <w:sz w:val="17"/>
                  </w:rPr>
                  <w:t>[اكتب هنا]</w:t>
                </w:r>
              </w:sdtContent>
            </w:sdt>
          </w:p>
        </w:tc>
        <w:tc>
          <w:tcPr>
            <w:tcW w:type="dxa" w:w="273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28"/>
                <w:alias w:val="DKMH_06_F028"/>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30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الذهان/الهياج/فقد السيطرة</w:t>
            </w:r>
          </w:p>
        </w:tc>
        <w:tc>
          <w:tcPr>
            <w:tcW w:type="dxa" w:w="237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29"/>
                <w:alias w:val="DKMH_06_F029"/>
                <w:text/>
              </w:sdtPr>
              <w:sdtContent>
                <w:r>
                  <w:rPr>
                    <w:rFonts w:ascii="Noto Naskh Arabic" w:hAnsi="Noto Naskh Arabic" w:cs="Noto Naskh Arabic" w:eastAsia="Noto Naskh Arabic"/>
                    <w:b w:val="0"/>
                    <w:sz w:val="17"/>
                  </w:rPr>
                  <w:t>[اكتب هنا]</w:t>
                </w:r>
              </w:sdtContent>
            </w:sdt>
          </w:p>
        </w:tc>
        <w:tc>
          <w:tcPr>
            <w:tcW w:type="dxa" w:w="331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30"/>
                <w:alias w:val="DKMH_06_F030"/>
                <w:text/>
              </w:sdtPr>
              <w:sdtContent>
                <w:r>
                  <w:rPr>
                    <w:rFonts w:ascii="Noto Naskh Arabic" w:hAnsi="Noto Naskh Arabic" w:cs="Noto Naskh Arabic" w:eastAsia="Noto Naskh Arabic"/>
                    <w:b w:val="0"/>
                    <w:sz w:val="17"/>
                  </w:rPr>
                  <w:t>[اكتب هنا]</w:t>
                </w:r>
              </w:sdtContent>
            </w:sdt>
          </w:p>
        </w:tc>
        <w:tc>
          <w:tcPr>
            <w:tcW w:type="dxa" w:w="273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31"/>
                <w:alias w:val="DKMH_06_F031"/>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30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التسمم/الانسحاب</w:t>
            </w:r>
          </w:p>
        </w:tc>
        <w:tc>
          <w:tcPr>
            <w:tcW w:type="dxa" w:w="237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32"/>
                <w:alias w:val="DKMH_06_F032"/>
                <w:text/>
              </w:sdtPr>
              <w:sdtContent>
                <w:r>
                  <w:rPr>
                    <w:rFonts w:ascii="Noto Naskh Arabic" w:hAnsi="Noto Naskh Arabic" w:cs="Noto Naskh Arabic" w:eastAsia="Noto Naskh Arabic"/>
                    <w:b w:val="0"/>
                    <w:sz w:val="17"/>
                  </w:rPr>
                  <w:t>[اكتب هنا]</w:t>
                </w:r>
              </w:sdtContent>
            </w:sdt>
          </w:p>
        </w:tc>
        <w:tc>
          <w:tcPr>
            <w:tcW w:type="dxa" w:w="3311"/>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33"/>
                <w:alias w:val="DKMH_06_F033"/>
                <w:text/>
              </w:sdtPr>
              <w:sdtContent>
                <w:r>
                  <w:rPr>
                    <w:rFonts w:ascii="Noto Naskh Arabic" w:hAnsi="Noto Naskh Arabic" w:cs="Noto Naskh Arabic" w:eastAsia="Noto Naskh Arabic"/>
                    <w:b w:val="0"/>
                    <w:sz w:val="17"/>
                  </w:rPr>
                  <w:t>[اكتب هنا]</w:t>
                </w:r>
              </w:sdtContent>
            </w:sdt>
          </w:p>
        </w:tc>
        <w:tc>
          <w:tcPr>
            <w:tcW w:type="dxa" w:w="273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34"/>
                <w:alias w:val="DKMH_06_F034"/>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30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الرعاية الذاتية والحماية</w:t>
            </w:r>
          </w:p>
        </w:tc>
        <w:tc>
          <w:tcPr>
            <w:tcW w:type="dxa" w:w="237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الأكل والشرب، الضعف والاستغلال، العنف أو الإهمال: </w:t>
            </w:r>
            <w:sdt>
              <w:sdtPr>
                <w:tag w:val="DKMH_06_F035"/>
                <w:alias w:val="DKMH_06_F035"/>
                <w:text/>
              </w:sdtPr>
              <w:sdtContent>
                <w:r>
                  <w:rPr>
                    <w:rFonts w:ascii="Noto Naskh Arabic" w:hAnsi="Noto Naskh Arabic" w:cs="Noto Naskh Arabic" w:eastAsia="Noto Naskh Arabic"/>
                    <w:b w:val="0"/>
                    <w:sz w:val="17"/>
                  </w:rPr>
                  <w:t>[اكتب هنا]</w:t>
                </w:r>
              </w:sdtContent>
            </w:sdt>
          </w:p>
        </w:tc>
        <w:tc>
          <w:tcPr>
            <w:tcW w:type="dxa" w:w="331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36"/>
                <w:alias w:val="DKMH_06_F036"/>
                <w:text/>
              </w:sdtPr>
              <w:sdtContent>
                <w:r>
                  <w:rPr>
                    <w:rFonts w:ascii="Noto Naskh Arabic" w:hAnsi="Noto Naskh Arabic" w:cs="Noto Naskh Arabic" w:eastAsia="Noto Naskh Arabic"/>
                    <w:b w:val="0"/>
                    <w:sz w:val="17"/>
                  </w:rPr>
                  <w:t>[اكتب هنا]</w:t>
                </w:r>
              </w:sdtContent>
            </w:sdt>
          </w:p>
        </w:tc>
        <w:tc>
          <w:tcPr>
            <w:tcW w:type="dxa" w:w="273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37"/>
                <w:alias w:val="DKMH_06_F037"/>
                <w:text/>
              </w:sdtPr>
              <w:sdtContent>
                <w:r>
                  <w:rPr>
                    <w:rFonts w:ascii="Noto Naskh Arabic" w:hAnsi="Noto Naskh Arabic" w:cs="Noto Naskh Arabic" w:eastAsia="Noto Naskh Arabic"/>
                    <w:b w:val="0"/>
                    <w:sz w:val="17"/>
                  </w:rPr>
                  <w:t>[اكتب هنا]</w:t>
                </w:r>
              </w:sdtContent>
            </w:sdt>
          </w:p>
        </w:tc>
      </w:tr>
    </w:tbl>
    <w:p>
      <w:pPr>
        <w:bidi w:val="1"/>
        <w:spacing w:after="40"/>
        <w:jc w:val="right"/>
      </w:pPr>
      <w:r>
        <w:rPr>
          <w:rFonts w:ascii="Noto Sans Arabic" w:hAnsi="Noto Sans Arabic" w:cs="Noto Sans Arabic" w:eastAsia="Noto Naskh Arabic"/>
          <w:color w:val="8D4A48"/>
          <w:sz w:val="18"/>
        </w:rPr>
        <w:t>لا تُستخدم تصنيفات منخفض/متوسط/مرتفع للتنبؤ بالسلوك أو اتخاذ القرار. يوثَّق ما هو موجود الآن، وعوامل التصعيد والحماية، وصياغة الخطر والاحتياجات والإجراء السريري.</w:t>
      </w:r>
    </w:p>
    <w:p>
      <w:pPr>
        <w:pStyle w:val="Heading2"/>
        <w:spacing w:after="40"/>
        <w:jc w:val="right"/>
        <w:bidi w:val="1"/>
      </w:pPr>
      <w:r>
        <w:rPr>
          <w:rFonts w:ascii="Noto Sans Arabic" w:hAnsi="Noto Sans Arabic" w:cs="Noto Sans Arabic" w:eastAsia="Noto Sans Arabic"/>
          <w:sz w:val="26"/>
          <w:rtl w:val="1"/>
        </w:rPr>
        <w:t>د. الأدوية والالتزام والآثار الجانبية</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2304"/>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الدواء/الجرعة</w:t>
            </w:r>
          </w:p>
        </w:tc>
        <w:tc>
          <w:tcPr>
            <w:tcW w:type="dxa" w:w="1728"/>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الالتزام</w:t>
            </w:r>
          </w:p>
        </w:tc>
        <w:tc>
          <w:tcPr>
            <w:tcW w:type="dxa" w:w="2015"/>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الاستجابة</w:t>
            </w:r>
          </w:p>
        </w:tc>
        <w:tc>
          <w:tcPr>
            <w:tcW w:type="dxa" w:w="2376"/>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الآثار الجانبية</w:t>
            </w:r>
          </w:p>
        </w:tc>
        <w:tc>
          <w:tcPr>
            <w:tcW w:type="dxa" w:w="2448"/>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التغيير/الإجراء</w:t>
            </w:r>
          </w:p>
        </w:tc>
      </w:tr>
      <w:tr>
        <w:trPr>
          <w:trHeight w:hRule="atLeast" w:val="518"/>
        </w:trPr>
        <w:tc>
          <w:tcPr>
            <w:tcW w:type="dxa" w:w="230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38"/>
                <w:alias w:val="DKMH_06_F038"/>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39"/>
                <w:alias w:val="DKMH_06_F039"/>
                <w:text/>
              </w:sdtPr>
              <w:sdtContent>
                <w:r>
                  <w:rPr>
                    <w:rFonts w:ascii="Noto Naskh Arabic" w:hAnsi="Noto Naskh Arabic" w:cs="Noto Naskh Arabic" w:eastAsia="Noto Naskh Arabic"/>
                    <w:color w:val="333333"/>
                    <w:sz w:val="17"/>
                    <w:rtl w:val="1"/>
                  </w:rPr>
                  <w:t>[اكتب هنا]</w:t>
                </w:r>
              </w:sdtContent>
            </w:sdt>
          </w:p>
        </w:tc>
        <w:tc>
          <w:tcPr>
            <w:tcW w:type="dxa" w:w="201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40"/>
                <w:alias w:val="DKMH_06_F040"/>
                <w:text/>
              </w:sdtPr>
              <w:sdtContent>
                <w:r>
                  <w:rPr>
                    <w:rFonts w:ascii="Noto Naskh Arabic" w:hAnsi="Noto Naskh Arabic" w:cs="Noto Naskh Arabic" w:eastAsia="Noto Naskh Arabic"/>
                    <w:color w:val="333333"/>
                    <w:sz w:val="17"/>
                    <w:rtl w:val="1"/>
                  </w:rPr>
                  <w:t>[اكتب هنا]</w:t>
                </w:r>
              </w:sdtContent>
            </w:sdt>
          </w:p>
        </w:tc>
        <w:tc>
          <w:tcPr>
            <w:tcW w:type="dxa" w:w="237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41"/>
                <w:alias w:val="DKMH_06_F041"/>
                <w:text/>
              </w:sdtPr>
              <w:sdtContent>
                <w:r>
                  <w:rPr>
                    <w:rFonts w:ascii="Noto Naskh Arabic" w:hAnsi="Noto Naskh Arabic" w:cs="Noto Naskh Arabic" w:eastAsia="Noto Naskh Arabic"/>
                    <w:color w:val="333333"/>
                    <w:sz w:val="17"/>
                    <w:rtl w:val="1"/>
                  </w:rPr>
                  <w:t>[اكتب هنا]</w:t>
                </w:r>
              </w:sdtContent>
            </w:sdt>
          </w:p>
        </w:tc>
        <w:tc>
          <w:tcPr>
            <w:tcW w:type="dxa" w:w="244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42"/>
                <w:alias w:val="DKMH_06_F042"/>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30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43"/>
                <w:alias w:val="DKMH_06_F043"/>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44"/>
                <w:alias w:val="DKMH_06_F044"/>
                <w:text/>
              </w:sdtPr>
              <w:sdtContent>
                <w:r>
                  <w:rPr>
                    <w:rFonts w:ascii="Noto Naskh Arabic" w:hAnsi="Noto Naskh Arabic" w:cs="Noto Naskh Arabic" w:eastAsia="Noto Naskh Arabic"/>
                    <w:color w:val="333333"/>
                    <w:sz w:val="17"/>
                    <w:rtl w:val="1"/>
                  </w:rPr>
                  <w:t>[اكتب هنا]</w:t>
                </w:r>
              </w:sdtContent>
            </w:sdt>
          </w:p>
        </w:tc>
        <w:tc>
          <w:tcPr>
            <w:tcW w:type="dxa" w:w="2015"/>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45"/>
                <w:alias w:val="DKMH_06_F045"/>
                <w:text/>
              </w:sdtPr>
              <w:sdtContent>
                <w:r>
                  <w:rPr>
                    <w:rFonts w:ascii="Noto Naskh Arabic" w:hAnsi="Noto Naskh Arabic" w:cs="Noto Naskh Arabic" w:eastAsia="Noto Naskh Arabic"/>
                    <w:color w:val="333333"/>
                    <w:sz w:val="17"/>
                    <w:rtl w:val="1"/>
                  </w:rPr>
                  <w:t>[اكتب هنا]</w:t>
                </w:r>
              </w:sdtContent>
            </w:sdt>
          </w:p>
        </w:tc>
        <w:tc>
          <w:tcPr>
            <w:tcW w:type="dxa" w:w="237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46"/>
                <w:alias w:val="DKMH_06_F046"/>
                <w:text/>
              </w:sdtPr>
              <w:sdtContent>
                <w:r>
                  <w:rPr>
                    <w:rFonts w:ascii="Noto Naskh Arabic" w:hAnsi="Noto Naskh Arabic" w:cs="Noto Naskh Arabic" w:eastAsia="Noto Naskh Arabic"/>
                    <w:color w:val="333333"/>
                    <w:sz w:val="17"/>
                    <w:rtl w:val="1"/>
                  </w:rPr>
                  <w:t>[اكتب هنا]</w:t>
                </w:r>
              </w:sdtContent>
            </w:sdt>
          </w:p>
        </w:tc>
        <w:tc>
          <w:tcPr>
            <w:tcW w:type="dxa" w:w="244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47"/>
                <w:alias w:val="DKMH_06_F04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30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48"/>
                <w:alias w:val="DKMH_06_F048"/>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49"/>
                <w:alias w:val="DKMH_06_F049"/>
                <w:text/>
              </w:sdtPr>
              <w:sdtContent>
                <w:r>
                  <w:rPr>
                    <w:rFonts w:ascii="Noto Naskh Arabic" w:hAnsi="Noto Naskh Arabic" w:cs="Noto Naskh Arabic" w:eastAsia="Noto Naskh Arabic"/>
                    <w:color w:val="333333"/>
                    <w:sz w:val="17"/>
                    <w:rtl w:val="1"/>
                  </w:rPr>
                  <w:t>[اكتب هنا]</w:t>
                </w:r>
              </w:sdtContent>
            </w:sdt>
          </w:p>
        </w:tc>
        <w:tc>
          <w:tcPr>
            <w:tcW w:type="dxa" w:w="201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50"/>
                <w:alias w:val="DKMH_06_F050"/>
                <w:text/>
              </w:sdtPr>
              <w:sdtContent>
                <w:r>
                  <w:rPr>
                    <w:rFonts w:ascii="Noto Naskh Arabic" w:hAnsi="Noto Naskh Arabic" w:cs="Noto Naskh Arabic" w:eastAsia="Noto Naskh Arabic"/>
                    <w:color w:val="333333"/>
                    <w:sz w:val="17"/>
                    <w:rtl w:val="1"/>
                  </w:rPr>
                  <w:t>[اكتب هنا]</w:t>
                </w:r>
              </w:sdtContent>
            </w:sdt>
          </w:p>
        </w:tc>
        <w:tc>
          <w:tcPr>
            <w:tcW w:type="dxa" w:w="237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51"/>
                <w:alias w:val="DKMH_06_F051"/>
                <w:text/>
              </w:sdtPr>
              <w:sdtContent>
                <w:r>
                  <w:rPr>
                    <w:rFonts w:ascii="Noto Naskh Arabic" w:hAnsi="Noto Naskh Arabic" w:cs="Noto Naskh Arabic" w:eastAsia="Noto Naskh Arabic"/>
                    <w:color w:val="333333"/>
                    <w:sz w:val="17"/>
                    <w:rtl w:val="1"/>
                  </w:rPr>
                  <w:t>[اكتب هنا]</w:t>
                </w:r>
              </w:sdtContent>
            </w:sdt>
          </w:p>
        </w:tc>
        <w:tc>
          <w:tcPr>
            <w:tcW w:type="dxa" w:w="244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52"/>
                <w:alias w:val="DKMH_06_F052"/>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30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53"/>
                <w:alias w:val="DKMH_06_F053"/>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54"/>
                <w:alias w:val="DKMH_06_F054"/>
                <w:text/>
              </w:sdtPr>
              <w:sdtContent>
                <w:r>
                  <w:rPr>
                    <w:rFonts w:ascii="Noto Naskh Arabic" w:hAnsi="Noto Naskh Arabic" w:cs="Noto Naskh Arabic" w:eastAsia="Noto Naskh Arabic"/>
                    <w:color w:val="333333"/>
                    <w:sz w:val="17"/>
                    <w:rtl w:val="1"/>
                  </w:rPr>
                  <w:t>[اكتب هنا]</w:t>
                </w:r>
              </w:sdtContent>
            </w:sdt>
          </w:p>
        </w:tc>
        <w:tc>
          <w:tcPr>
            <w:tcW w:type="dxa" w:w="2015"/>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55"/>
                <w:alias w:val="DKMH_06_F055"/>
                <w:text/>
              </w:sdtPr>
              <w:sdtContent>
                <w:r>
                  <w:rPr>
                    <w:rFonts w:ascii="Noto Naskh Arabic" w:hAnsi="Noto Naskh Arabic" w:cs="Noto Naskh Arabic" w:eastAsia="Noto Naskh Arabic"/>
                    <w:color w:val="333333"/>
                    <w:sz w:val="17"/>
                    <w:rtl w:val="1"/>
                  </w:rPr>
                  <w:t>[اكتب هنا]</w:t>
                </w:r>
              </w:sdtContent>
            </w:sdt>
          </w:p>
        </w:tc>
        <w:tc>
          <w:tcPr>
            <w:tcW w:type="dxa" w:w="237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56"/>
                <w:alias w:val="DKMH_06_F056"/>
                <w:text/>
              </w:sdtPr>
              <w:sdtContent>
                <w:r>
                  <w:rPr>
                    <w:rFonts w:ascii="Noto Naskh Arabic" w:hAnsi="Noto Naskh Arabic" w:cs="Noto Naskh Arabic" w:eastAsia="Noto Naskh Arabic"/>
                    <w:color w:val="333333"/>
                    <w:sz w:val="17"/>
                    <w:rtl w:val="1"/>
                  </w:rPr>
                  <w:t>[اكتب هنا]</w:t>
                </w:r>
              </w:sdtContent>
            </w:sdt>
          </w:p>
        </w:tc>
        <w:tc>
          <w:tcPr>
            <w:tcW w:type="dxa" w:w="244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6_F057"/>
                <w:alias w:val="DKMH_06_F057"/>
                <w:text/>
              </w:sdtPr>
              <w:sdtContent>
                <w:r>
                  <w:rPr>
                    <w:rFonts w:ascii="Noto Naskh Arabic" w:hAnsi="Noto Naskh Arabic" w:cs="Noto Naskh Arabic" w:eastAsia="Noto Naskh Arabic"/>
                    <w:color w:val="333333"/>
                    <w:sz w:val="17"/>
                    <w:rtl w:val="1"/>
                  </w:rPr>
                  <w:t>[اكتب هنا]</w:t>
                </w:r>
              </w:sdtContent>
            </w:sdt>
          </w:p>
        </w:tc>
      </w:tr>
    </w:tbl>
    <w:p>
      <w:pPr>
        <w:bidi w:val="1"/>
        <w:spacing w:after="40"/>
        <w:jc w:val="right"/>
      </w:pPr>
    </w:p>
    <w:p>
      <w:pPr>
        <w:pStyle w:val="FormLabel"/>
        <w:spacing w:after="40"/>
        <w:jc w:val="right"/>
        <w:bidi w:val="1"/>
      </w:pPr>
      <w:r>
        <w:rPr>
          <w:rFonts w:ascii="Noto Sans Arabic" w:hAnsi="Noto Sans Arabic" w:cs="Noto Sans Arabic" w:eastAsia="Noto Naskh Arabic"/>
          <w:sz w:val="19"/>
          <w:rtl w:val="1"/>
        </w:rPr>
        <w:t>التقييم السريري وصياغة الحالة</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هـ. الخطة</w:t>
      </w:r>
    </w:p>
    <w:p>
      <w:pPr>
        <w:spacing w:after="40"/>
        <w:ind w:left="72" w:hanging="72"/>
        <w:jc w:val="right"/>
        <w:bidi w:val="1"/>
      </w:pPr>
      <w:r>
        <w:rPr>
          <w:rFonts w:ascii="Noto Sans Arabic" w:hAnsi="Noto Sans Arabic" w:cs="Noto Sans Arabic" w:eastAsia="Noto Naskh Arabic"/>
          <w:sz w:val="21"/>
          <w:rtl w:val="1"/>
        </w:rPr>
        <w:t>•  ☐ تثقيف ومناقشة مشتركة  ☐ تدخل نفسي  ☐ واجب/خطة سلوكية  ☐ مراجعة دوائية بواسطة الواصف  ☐ فحوصات  ☐ إحالة  ☐ خطة أمان  ☐ متابعة</w:t>
      </w:r>
    </w:p>
    <w:p>
      <w:pPr>
        <w:pStyle w:val="FormLabel"/>
        <w:spacing w:after="40"/>
        <w:jc w:val="right"/>
        <w:bidi w:val="1"/>
      </w:pPr>
      <w:r>
        <w:rPr>
          <w:rFonts w:ascii="Noto Sans Arabic" w:hAnsi="Noto Sans Arabic" w:cs="Noto Sans Arabic" w:eastAsia="Noto Naskh Arabic"/>
          <w:sz w:val="19"/>
          <w:rtl w:val="1"/>
        </w:rPr>
        <w:t>تفاصيل الخطة وما وافق عليه المراجع</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rHeight w:hRule="atLeast" w:val="490"/>
          <w:tblHeader w:val="true"/>
        </w:trPr>
        <w:tc>
          <w:tcPr>
            <w:tcW w:type="dxa" w:w="2304"/>
            <w:shd w:fill="D9E8E6"/>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الموعد القادم</w:t>
            </w:r>
          </w:p>
        </w:tc>
        <w:tc>
          <w:tcPr>
            <w:tcW w:type="dxa" w:w="8208"/>
            <w:shd w:fill="D9E8E6"/>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6_F058"/>
                <w:alias w:val="DKMH_06_F058"/>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تعليمات الطوارئ أعيد توضيحها</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 نعم  ☐ لا  ☐ غير منطبق</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حدود التواصل بين الجلسات</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6_F059"/>
                <w:alias w:val="DKMH_06_F059"/>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انقطاع/مشكلة تقنية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 xml:space="preserve">☐ لا  ☐ نعم — الأثر والإجراء: </w:t>
            </w:r>
            <w:sdt>
              <w:sdtPr>
                <w:tag w:val="DKMH_06_F060"/>
                <w:alias w:val="DKMH_06_F060"/>
                <w:text/>
              </w:sdtPr>
              <w:sdtContent>
                <w:r>
                  <w:rPr>
                    <w:rFonts w:ascii="Noto Naskh Arabic" w:hAnsi="Noto Naskh Arabic" w:cs="Noto Naskh Arabic" w:eastAsia="Noto Naskh Arabic"/>
                    <w:color w:val="666666"/>
                    <w:sz w:val="18"/>
                    <w:rtl w:val="1"/>
                  </w:rPr>
                  <w:t>[اكتب هنا]</w:t>
                </w:r>
              </w:sdtContent>
            </w:sdt>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اسم الموثّق</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الصفة المهنية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40"/>
        <w:jc w:val="right"/>
      </w:pPr>
    </w:p>
    <w:p>
      <w:pPr>
        <w:spacing w:after="40"/>
        <w:jc w:val="right"/>
        <w:bidi w:val="1"/>
      </w:pPr>
      <w:r>
        <w:rPr>
          <w:rFonts w:ascii="Noto Sans Arabic" w:hAnsi="Noto Sans Arabic" w:cs="Noto Sans Arabic" w:eastAsia="Noto Naskh Arabic"/>
          <w:b/>
          <w:color w:val="24322E"/>
          <w:sz w:val="17"/>
          <w:rtl w:val="1"/>
        </w:rPr>
        <w:t xml:space="preserve">مرجعية التصميم: </w:t>
      </w:r>
      <w:hyperlink r:id="rId11">
        <w:r>
          <w:rPr>
            <w:color w:val="365E54"/>
            <w:u w:val="single"/>
            <w:rFonts w:ascii="Noto Naskh Arabic" w:hAnsi="Noto Naskh Arabic" w:cs="Noto Naskh Arabic"/>
            <w:rtl w:val="1"/>
          </w:rPr>
          <w:t>الجمعية الأمريكية للطب النفسي APA — Telepsychiatry Toolkit: Patient Safety and Emergency Management</w:t>
        </w:r>
      </w:hyperlink>
      <w:r>
        <w:rPr>
          <w:rFonts w:ascii="Noto Sans Arabic" w:hAnsi="Noto Sans Arabic" w:cs="Noto Sans Arabic" w:eastAsia="Noto Naskh Arabic"/>
          <w:sz w:val="17"/>
          <w:rtl w:val="1"/>
        </w:rPr>
        <w:t xml:space="preserve">؛ </w:t>
      </w:r>
      <w:hyperlink r:id="rId12">
        <w:r>
          <w:rPr>
            <w:color w:val="365E54"/>
            <w:u w:val="single"/>
            <w:rFonts w:ascii="Noto Naskh Arabic" w:hAnsi="Noto Naskh Arabic" w:cs="Noto Naskh Arabic"/>
            <w:rtl w:val="1"/>
          </w:rPr>
          <w:t>APA/ATA — Best Practices in Videoconferencing-Based Telemental Health</w:t>
        </w:r>
      </w:hyperlink>
    </w:p>
    <w:p>
      <w:pPr>
        <w:jc w:val="right"/>
        <w:bidi/>
      </w:pPr>
      <w:r>
        <w:rPr>
          <w:rFonts w:ascii="Noto Sans Arabic" w:hAnsi="Noto Sans Arabic" w:cs="Noto Sans Arabic"/>
          <w:b w:val="0"/>
          <w:sz w:val="16"/>
        </w:rPr>
        <w:t>حقوق الاستخدام: يسمح بالاستخدام السريري الداخلي غير التجاري مع الحفاظ على اسم المصدر ورقم الإصدار. لا يسمح بإعادة البيع أو النشر المعدل أو تقديم الأداة بوصفها معتمدة من جهة خارجية دون إذن مكتوب. يتحمل المستخدم مسؤولية التكييف المحلي والتحقق من ملاءمتها.</w:t>
      </w:r>
    </w:p>
    <w:sectPr w:rsidR="00FC693F" w:rsidRPr="0006063C" w:rsidSect="00034616">
      <w:headerReference w:type="default" r:id="rId9"/>
      <w:footerReference w:type="default" r:id="rId10"/>
      <w:headerReference w:type="first" r:id="rId13"/>
      <w:footerReference w:type="first" r:id="rId14"/>
      <w:headerReference w:type="even" r:id="rId15"/>
      <w:footerReference w:type="even" r:id="rId16"/>
      <w:pgSz w:w="11906" w:h="16838"/>
      <w:pgMar w:top="680" w:right="680" w:bottom="737" w:left="680" w:header="340"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Sans Arabic" w:hAnsi="Noto Sans Arabic" w:cs="Noto Sans Arabic" w:eastAsia="Noto Naskh Arabic"/>
        <w:b w:val="0"/>
        <w:color w:val="666666"/>
        <w:sz w:val="16"/>
        <w:rtl w:val="1"/>
      </w:rPr>
      <w:t>© 2026 عيادة الدكتور خالد النفسية | الإصدار 1.2.0 | استخدام مهني مضبوط وخاضع للمراجعة | www.drkhalidmentalhealth.com</w:t>
    </w:r>
    <w:r>
      <w:rPr>
        <w:rFonts w:ascii="Noto Sans Arabic" w:hAnsi="Noto Sans Arabic" w:cs="Noto Sans Arabic" w:eastAsia="Noto Naskh Arabic"/>
        <w:color w:val="666666"/>
        <w:sz w:val="17"/>
        <w:rtl w:val="1"/>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Noto Naskh Arabic" w:hAnsi="Noto Naskh Arabic" w:cs="Noto Naskh Arabic" w:eastAsia="Noto Naskh Arabic"/>
        <w:b/>
        <w:color w:val="365E54"/>
        <w:sz w:val="17"/>
        <w:rtl w:val="1"/>
      </w:rPr>
      <w:t>عيادة الدكتور خالد النفسية  |  مساحة المختصين  |  المكتبة</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bidi w:val="1"/>
    </w:pPr>
    <w:rPr>
      <w:rFonts w:ascii="Noto Naskh Arabic" w:hAnsi="Noto Naskh Arabic" w:cs="Noto Naskh Arabic"/>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80"/>
      <w:outlineLvl w:val="0"/>
      <w:bidi w:val="1"/>
    </w:pPr>
    <w:rPr>
      <w:rFonts w:asciiTheme="majorHAnsi" w:eastAsiaTheme="majorEastAsia" w:hAnsiTheme="majorHAnsi" w:cstheme="majorBidi" w:ascii="Noto Sans Arabic" w:hAnsi="Noto Sans Arabic" w:cs="Noto Sans Arabic"/>
      <w:b/>
      <w:bCs/>
      <w:color w:val="24322E"/>
      <w:sz w:val="32"/>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bidi w:val="1"/>
    </w:pPr>
    <w:rPr>
      <w:rFonts w:asciiTheme="majorHAnsi" w:eastAsiaTheme="majorEastAsia" w:hAnsiTheme="majorHAnsi" w:cstheme="majorBidi" w:ascii="Noto Sans Arabic" w:hAnsi="Noto Sans Arabic" w:cs="Noto Sans Arabic"/>
      <w:b/>
      <w:bCs/>
      <w:color w:val="365E54"/>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bidi w:val="1"/>
    </w:pPr>
    <w:rPr>
      <w:rFonts w:asciiTheme="majorHAnsi" w:eastAsiaTheme="majorEastAsia" w:hAnsiTheme="majorHAnsi" w:cstheme="majorBidi" w:ascii="Noto Sans Arabic" w:hAnsi="Noto Sans Arabic" w:cs="Noto Sans Arabic"/>
      <w:b/>
      <w:bCs/>
      <w:color w:val="24322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20"/>
      <w:contextualSpacing/>
      <w:bidi w:val="1"/>
    </w:pPr>
    <w:rPr>
      <w:rFonts w:asciiTheme="majorHAnsi" w:eastAsiaTheme="majorEastAsia" w:hAnsiTheme="majorHAnsi" w:cstheme="majorBidi" w:ascii="Noto Sans Arabic" w:hAnsi="Noto Sans Arabic" w:cs="Noto Sans Arabic"/>
      <w:b/>
      <w:color w:val="24322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20"/>
      <w:bidi w:val="1"/>
    </w:pPr>
    <w:rPr>
      <w:rFonts w:ascii="Noto Sans Arabic" w:hAnsi="Noto Sans Arabic" w:cs="Noto Sans Arabic"/>
      <w:b/>
      <w:color w:val="24322E"/>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psychiatry.org/psychiatrists/practice/telepsychiatry/toolkit/patient-safety-and-emergency-management" TargetMode="External"/><Relationship Id="rId12" Type="http://schemas.openxmlformats.org/officeDocument/2006/relationships/hyperlink" Target="https://www.psychiatry.org/getmedia/05b9b9cb-dbb5-4df8-8948-e2b9bd659b55/APA-ATA-Best-Practices-in-Videoconferencing-Based-Telemental-Health.pdf" TargetMode="Externa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توثيق جلسة نفسية عن بُعد</dc:title>
  <dc:subject>Controlled internal professional clinical documentation toolkit - version 1.2.0</dc:subject>
  <dc:creator>Dr. Khalid Mental Health Clinic</dc:creator>
  <cp:keywords>telepsychiatry, medication safety, clinical documentation, risk escalation, Sudan</cp:keywords>
  <dc:description>Internal professional release; not external regulatory or academic accreditation.</dc:description>
  <cp:lastModifiedBy>Dr. Khalid Mental Health Clinic</cp:lastModifiedBy>
  <cp:revision>1</cp:revision>
  <dcterms:created xsi:type="dcterms:W3CDTF">2026-08-02T11:27:00Z</dcterms:created>
  <dcterms:modified xsi:type="dcterms:W3CDTF">2026-08-02T11:27:00Z</dcterms:modified>
  <cp:category/>
</cp:coreProperties>
</file>