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t>نموذج الاستجابة للتدهور والتصعيد عن بُعد</w:t>
      </w:r>
    </w:p>
    <w:p>
      <w:pPr>
        <w:spacing w:after="40"/>
        <w:jc w:val="right"/>
        <w:bidi w:val="1"/>
      </w:pPr>
      <w:r>
        <w:rPr>
          <w:rFonts w:ascii="Noto Sans Arabic" w:hAnsi="Noto Sans Arabic" w:cs="Noto Sans Arabic" w:eastAsia="Noto Naskh Arabic"/>
          <w:b w:val="0"/>
          <w:sz w:val="22"/>
        </w:rPr>
        <w:t>خطة تشغيلية لتحديد الإنذار المبكر والدعم المحلي وتقليل وسائل الأذى والتصعيد عند الحاجة أو انقطاع الاتصال</w:t>
      </w:r>
    </w:p>
    <w:p>
      <w:pPr>
        <w:spacing w:after="40"/>
        <w:jc w:val="right"/>
        <w:bidi w:val="1"/>
      </w:pPr>
      <w:r>
        <w:rPr>
          <w:rFonts w:ascii="Noto Sans Arabic" w:hAnsi="Noto Sans Arabic" w:cs="Noto Sans Arabic" w:eastAsia="Noto Naskh Arabic"/>
          <w:color w:val="666666"/>
          <w:sz w:val="17"/>
        </w:rPr>
        <w:t>رمز النموذج: DKMH-LIB-TP-02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jc w:val="right"/>
              <w:bidi/>
            </w:pPr>
            <w:r>
              <w:rPr>
                <w:rFonts w:ascii="Noto Sans Arabic" w:hAnsi="Noto Sans Arabic" w:cs="Noto Sans Arabic"/>
                <w:b/>
                <w:sz w:val="16"/>
              </w:rPr>
              <w:t>حدود الاستخدام المهنية</w:t>
              <w:br/>
              <w:t>تُعد هذه الخطة مسبقاً متى أمكن وتُراجع عند تغير السكن أو وسائل الاتصال أو مستوى الخطر. ليست تعهداً بعدم الإيذاء، ولا دليلاً على أن الشخص آمن، ولا بديلاً عن تقييم الخطر أو الإحالة الطارئة. عند وجود خطر وشيك لا يُستكمل النموذج بوصفه بديلاً عن الرعاية المباشرة.</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معلومات الوصول</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1"/>
                <w:alias w:val="DKMH_08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الموقع المعتاد للجلسات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2"/>
                <w:alias w:val="DKMH_08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العنوان/الوصف الدقيق</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3"/>
                <w:alias w:val="DKMH_08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رقم الهاتف الأساسي</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4"/>
                <w:alias w:val="DKMH_08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رقم بديل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5"/>
                <w:alias w:val="DKMH_08_F005"/>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تاريخ إعداد/تحديث الخطة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8_F006"/>
                <w:alias w:val="DKMH_08_F006"/>
                <w:text/>
              </w:sdtPr>
              <w:sdtContent>
                <w:r>
                  <w:rPr>
                    <w:rFonts w:ascii="Noto Naskh Arabic" w:hAnsi="Noto Naskh Arabic" w:cs="Noto Naskh Arabic" w:eastAsia="Noto Naskh Arabic"/>
                    <w:color w:val="666666"/>
                    <w:sz w:val="18"/>
                    <w:rtl w:val="1"/>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مكان حفظ نسخة الخطة ومن يمكنه الوصول إليها</w:t>
            </w:r>
          </w:p>
        </w:tc>
        <w:tc>
          <w:tcPr>
            <w:tcW w:type="dxa" w:w="5184"/>
            <w:vAlign w:val="center"/>
            <w:tcMar>
              <w:top w:w="80" w:type="dxa"/>
              <w:start w:w="90" w:type="dxa"/>
              <w:bottom w:w="80" w:type="dxa"/>
              <w:end w:w="90" w:type="dxa"/>
            </w:tcMar>
          </w:tcPr>
          <w:p>
            <w:pPr>
              <w:spacing w:after="0" w:before="0" w:line="240" w:lineRule="auto"/>
              <w:jc w:val="right"/>
              <w:bidi w:val="1"/>
            </w:pPr>
            <w:sdt>
              <w:sdtPr>
                <w:tag w:val="DKMH_08_F007"/>
                <w:alias w:val="DKMH_08_F007"/>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موعد مراجعة الخطة التالية</w:t>
            </w:r>
          </w:p>
        </w:tc>
        <w:tc>
          <w:tcPr>
            <w:tcW w:type="dxa" w:w="5184"/>
            <w:vAlign w:val="center"/>
            <w:tcMar>
              <w:top w:w="80" w:type="dxa"/>
              <w:start w:w="90" w:type="dxa"/>
              <w:bottom w:w="80" w:type="dxa"/>
              <w:end w:w="90" w:type="dxa"/>
            </w:tcMar>
          </w:tcPr>
          <w:p>
            <w:pPr>
              <w:spacing w:after="0" w:before="0" w:line="240" w:lineRule="auto"/>
              <w:jc w:val="right"/>
              <w:bidi w:val="1"/>
            </w:pPr>
            <w:sdt>
              <w:sdtPr>
                <w:tag w:val="DKMH_08_F008"/>
                <w:alias w:val="DKMH_08_F008"/>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أ. شبكة الوصول والدعم المحلي</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37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الجهة/الشخص</w:t>
            </w:r>
          </w:p>
        </w:tc>
        <w:tc>
          <w:tcPr>
            <w:tcW w:type="dxa" w:w="208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العلاقة/الدور</w:t>
            </w:r>
          </w:p>
        </w:tc>
        <w:tc>
          <w:tcPr>
            <w:tcW w:type="dxa" w:w="172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الهاتف</w:t>
            </w:r>
          </w:p>
        </w:tc>
        <w:tc>
          <w:tcPr>
            <w:tcW w:type="dxa" w:w="244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الموقع</w:t>
            </w:r>
          </w:p>
        </w:tc>
        <w:tc>
          <w:tcPr>
            <w:tcW w:type="dxa" w:w="18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موافقة التواصل</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شخص موثوق أول</w:t>
            </w:r>
          </w:p>
        </w:tc>
        <w:tc>
          <w:tcPr>
            <w:tcW w:type="dxa" w:w="20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09"/>
                <w:alias w:val="DKMH_08_F00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0"/>
                <w:alias w:val="DKMH_08_F010"/>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1"/>
                <w:alias w:val="DKMH_08_F011"/>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شخص موثوق ثانٍ</w:t>
            </w:r>
          </w:p>
        </w:tc>
        <w:tc>
          <w:tcPr>
            <w:tcW w:type="dxa" w:w="208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2"/>
                <w:alias w:val="DKMH_08_F012"/>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3"/>
                <w:alias w:val="DKMH_08_F013"/>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4"/>
                <w:alias w:val="DKMH_08_F014"/>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أقرب قسم طوارئ/مستشفى</w:t>
            </w:r>
          </w:p>
        </w:tc>
        <w:tc>
          <w:tcPr>
            <w:tcW w:type="dxa" w:w="20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5"/>
                <w:alias w:val="DKMH_08_F015"/>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6"/>
                <w:alias w:val="DKMH_08_F016"/>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7"/>
                <w:alias w:val="DKMH_08_F01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غير منطبق</w:t>
            </w:r>
          </w:p>
        </w:tc>
      </w:tr>
      <w:tr>
        <w:trPr>
          <w:trHeight w:hRule="atLeast" w:val="518"/>
        </w:trPr>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خدمة إسعاف/نقل متاحة محلياً</w:t>
            </w:r>
          </w:p>
        </w:tc>
        <w:tc>
          <w:tcPr>
            <w:tcW w:type="dxa" w:w="208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8"/>
                <w:alias w:val="DKMH_08_F018"/>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19"/>
                <w:alias w:val="DKMH_08_F019"/>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20"/>
                <w:alias w:val="DKMH_08_F020"/>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غير منطبق</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طبيب/مرفق متابع محلياً</w:t>
            </w:r>
          </w:p>
        </w:tc>
        <w:tc>
          <w:tcPr>
            <w:tcW w:type="dxa" w:w="20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21"/>
                <w:alias w:val="DKMH_08_F021"/>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22"/>
                <w:alias w:val="DKMH_08_F022"/>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23"/>
                <w:alias w:val="DKMH_08_F023"/>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ب. خطة انقطاع الاتصال والتحقق من السلامة</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88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الحالة</w:t>
            </w:r>
          </w:p>
        </w:tc>
        <w:tc>
          <w:tcPr>
            <w:tcW w:type="dxa" w:w="691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المتفق عليه</w:t>
            </w:r>
          </w:p>
        </w:tc>
      </w:tr>
      <w:tr>
        <w:trPr>
          <w:trHeight w:hRule="atLeast" w:val="518"/>
        </w:trPr>
        <w:tc>
          <w:tcPr>
            <w:tcW w:type="dxa" w:w="38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انقطاع قصير ولا توجد مخاوف سلامة</w:t>
            </w:r>
          </w:p>
        </w:tc>
        <w:tc>
          <w:tcPr>
            <w:tcW w:type="dxa" w:w="691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 xml:space="preserve">إعادة الاتصال عبر: </w:t>
            </w:r>
            <w:sdt>
              <w:sdtPr>
                <w:tag w:val="DKMH_08_F024"/>
                <w:alias w:val="DKMH_08_F024"/>
                <w:text/>
              </w:sdtPr>
              <w:sdtContent>
                <w:r>
                  <w:rPr>
                    <w:rFonts w:ascii="Noto Naskh Arabic" w:hAnsi="Noto Naskh Arabic" w:cs="Noto Naskh Arabic" w:eastAsia="Noto Naskh Arabic"/>
                    <w:color w:val="333333"/>
                    <w:sz w:val="18"/>
                    <w:rtl w:val="1"/>
                  </w:rPr>
                  <w:t>[اكتب هنا]</w:t>
                </w:r>
              </w:sdtContent>
            </w:sdt>
            <w:r>
              <w:rPr>
                <w:rFonts w:ascii="Noto Sans Arabic" w:hAnsi="Noto Sans Arabic" w:cs="Noto Sans Arabic" w:eastAsia="Noto Naskh Arabic"/>
                <w:color w:val="333333"/>
                <w:sz w:val="16"/>
                <w:rtl w:val="1"/>
              </w:rPr>
              <w:t xml:space="preserve"> خلال: </w:t>
            </w:r>
            <w:sdt>
              <w:sdtPr>
                <w:tag w:val="DKMH_08_F025"/>
                <w:alias w:val="DKMH_08_F02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88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انقطاع مع وجود مخاوف سلامة</w:t>
            </w:r>
          </w:p>
        </w:tc>
        <w:tc>
          <w:tcPr>
            <w:tcW w:type="dxa" w:w="691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الاتصال بالرقم البديل ثم الشخص الموثوق ثم التصعيد وفق الموقع</w:t>
            </w:r>
          </w:p>
        </w:tc>
      </w:tr>
      <w:tr>
        <w:trPr>
          <w:trHeight w:hRule="atLeast" w:val="518"/>
        </w:trPr>
        <w:tc>
          <w:tcPr>
            <w:tcW w:type="dxa" w:w="38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تعذر الوصول بعد ظهور خطر واضح</w:t>
            </w:r>
          </w:p>
        </w:tc>
        <w:tc>
          <w:tcPr>
            <w:tcW w:type="dxa" w:w="691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تفعيل إجراءات الطوارئ المحلية ومشاركة الحد الأدنى الضروري من المعلومات</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ج. عتبات التصعيد التي تتقدم على الرعاية عن بُعد</w:t>
      </w:r>
    </w:p>
    <w:p>
      <w:pPr>
        <w:spacing w:after="40"/>
        <w:ind w:left="72" w:hanging="72"/>
        <w:jc w:val="right"/>
        <w:bidi w:val="1"/>
      </w:pPr>
      <w:r>
        <w:rPr>
          <w:rFonts w:ascii="Noto Sans Arabic" w:hAnsi="Noto Sans Arabic" w:cs="Noto Sans Arabic" w:eastAsia="Noto Naskh Arabic"/>
          <w:sz w:val="21"/>
          <w:rtl w:val="1"/>
        </w:rPr>
        <w:t>•  ☐ نية أو خطة لإيذاء النفس/الآخرين  ☐ فقد السيطرة أو هياج شديد  ☐ ذهان حاد غير آمن</w:t>
      </w:r>
    </w:p>
    <w:p>
      <w:pPr>
        <w:spacing w:after="40"/>
        <w:ind w:left="72" w:hanging="72"/>
        <w:jc w:val="right"/>
        <w:bidi w:val="1"/>
      </w:pPr>
      <w:r>
        <w:rPr>
          <w:rFonts w:ascii="Noto Sans Arabic" w:hAnsi="Noto Sans Arabic" w:cs="Noto Sans Arabic" w:eastAsia="Noto Naskh Arabic"/>
          <w:sz w:val="21"/>
          <w:rtl w:val="1"/>
        </w:rPr>
        <w:t>•  ☐ تسمم/انسحاب/جرعة زائدة  ☐ ارتباك أو اضطراب وعي  ☐ رفض الطعام/الشراب أو عجز شديد عن الرعاية الذاتية</w:t>
      </w:r>
    </w:p>
    <w:p>
      <w:pPr>
        <w:spacing w:after="40"/>
        <w:ind w:left="72" w:hanging="72"/>
        <w:jc w:val="right"/>
        <w:bidi w:val="1"/>
      </w:pPr>
      <w:r>
        <w:rPr>
          <w:rFonts w:ascii="Noto Sans Arabic" w:hAnsi="Noto Sans Arabic" w:cs="Noto Sans Arabic" w:eastAsia="Noto Naskh Arabic"/>
          <w:sz w:val="21"/>
          <w:rtl w:val="1"/>
        </w:rPr>
        <w:t>•  ☐ عرض دوائي شديد أو مهدد للحياة  ☐ تعذر تقييم السلامة عن بُعد مع شك معقول بالخطر</w:t>
      </w:r>
    </w:p>
    <w:p>
      <w:pPr>
        <w:pStyle w:val="FormLabel"/>
        <w:spacing w:after="40"/>
        <w:jc w:val="right"/>
        <w:bidi w:val="1"/>
      </w:pPr>
      <w:r>
        <w:rPr>
          <w:rFonts w:ascii="Noto Sans Arabic" w:hAnsi="Noto Sans Arabic" w:cs="Noto Sans Arabic" w:eastAsia="Noto Naskh Arabic"/>
          <w:sz w:val="19"/>
          <w:rtl w:val="1"/>
        </w:rPr>
        <w:t>مؤشرات شخصية تدل على بداية التدهور وما تعنيه عملياً</w:t>
      </w:r>
    </w:p>
    <w:tbl>
      <w:tblPr>
        <w:tblW w:type="auto" w:w="0"/>
        <w:jc w:val="center"/>
        <w:tblLook w:firstColumn="1" w:firstRow="1" w:lastColumn="0" w:lastRow="0" w:noHBand="0" w:noVBand="1" w:val="04A0"/>
      </w:tblPr>
      <w:tblGrid>
        <w:gridCol w:w="3515"/>
        <w:gridCol w:w="3515"/>
        <w:gridCol w:w="3515"/>
      </w:tblGrid>
      <w:tr>
        <w:trPr>
          <w:tblHeader w:val="true"/>
        </w:trPr>
        <w:tc>
          <w:tcPr>
            <w:tcW w:type="dxa" w:w="3118"/>
            <w:vAlign w:val="center"/>
            <w:shd w:fill="D9E8E6"/>
          </w:tcPr>
          <w:p>
            <w:pPr>
              <w:jc w:val="right"/>
              <w:bidi/>
            </w:pPr>
            <w:r>
              <w:rPr>
                <w:rFonts w:ascii="Noto Sans Arabic" w:hAnsi="Noto Sans Arabic" w:cs="Noto Sans Arabic"/>
                <w:b/>
                <w:sz w:val="16"/>
              </w:rPr>
              <w:t>المؤشر الشخصي أو التغير المبكر</w:t>
            </w:r>
          </w:p>
        </w:tc>
        <w:tc>
          <w:tcPr>
            <w:tcW w:type="dxa" w:w="3118"/>
            <w:vAlign w:val="center"/>
            <w:shd w:fill="D9E8E6"/>
          </w:tcPr>
          <w:p>
            <w:pPr>
              <w:jc w:val="right"/>
              <w:bidi/>
            </w:pPr>
            <w:r>
              <w:rPr>
                <w:rFonts w:ascii="Noto Sans Arabic" w:hAnsi="Noto Sans Arabic" w:cs="Noto Sans Arabic"/>
                <w:b/>
                <w:sz w:val="16"/>
              </w:rPr>
              <w:t>كيف يظهر أو يُلاحظ؟</w:t>
            </w:r>
          </w:p>
        </w:tc>
        <w:tc>
          <w:tcPr>
            <w:tcW w:type="dxa" w:w="3118"/>
            <w:vAlign w:val="center"/>
            <w:shd w:fill="D9E8E6"/>
          </w:tcPr>
          <w:p>
            <w:pPr>
              <w:jc w:val="right"/>
              <w:bidi/>
            </w:pPr>
            <w:r>
              <w:rPr>
                <w:rFonts w:ascii="Noto Sans Arabic" w:hAnsi="Noto Sans Arabic" w:cs="Noto Sans Arabic"/>
                <w:b/>
                <w:sz w:val="16"/>
              </w:rPr>
              <w:t>الإجراء المتفق عليه</w:t>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bl>
    <w:p>
      <w:pPr>
        <w:bidi w:val="1"/>
        <w:spacing w:after="40"/>
        <w:jc w:val="right"/>
      </w:pPr>
    </w:p>
    <w:p>
      <w:pPr>
        <w:pStyle w:val="Heading2"/>
        <w:spacing w:after="40"/>
        <w:jc w:val="right"/>
        <w:bidi w:val="1"/>
      </w:pPr>
      <w:r>
        <w:rPr>
          <w:rFonts w:ascii="Noto Sans Arabic" w:hAnsi="Noto Sans Arabic" w:cs="Noto Sans Arabic" w:eastAsia="Noto Sans Arabic"/>
          <w:b/>
          <w:color w:val="315F55"/>
          <w:sz w:val="26"/>
        </w:rPr>
        <w:t>د. علامات الإنذار المبكر الشخصية</w:t>
      </w:r>
    </w:p>
    <w:tbl>
      <w:tblPr>
        <w:tblW w:type="auto" w:w="0"/>
        <w:jc w:val="center"/>
        <w:tblLayout w:type="autofit"/>
        <w:tblLook w:firstColumn="1" w:firstRow="1" w:lastColumn="0" w:lastRow="0" w:noHBand="0" w:noVBand="1" w:val="04A0"/>
      </w:tblPr>
      <w:tblGrid>
        <w:gridCol w:w="5102"/>
        <w:gridCol w:w="5102"/>
      </w:tblGrid>
      <w:tr>
        <w:trPr>
          <w:tblHeader w:val="true"/>
        </w:trPr>
        <w:tc>
          <w:tcPr>
            <w:tcW w:type="dxa" w:w="51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العلامة أو الموقف أو الفكرة التي تنبه إلى بداية الأزمة</w:t>
            </w:r>
          </w:p>
        </w:tc>
        <w:tc>
          <w:tcPr>
            <w:tcW w:type="dxa" w:w="51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كيف ألاحظها مبكراً؟</w:t>
            </w:r>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26"/>
                <w:alias w:val="DKMH_08_F026"/>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27"/>
                <w:alias w:val="DKMH_08_F027"/>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28"/>
                <w:alias w:val="DKMH_08_F028"/>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29"/>
                <w:alias w:val="DKMH_08_F029"/>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30"/>
                <w:alias w:val="DKMH_08_F030"/>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31"/>
                <w:alias w:val="DKMH_08_F031"/>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هـ. إجراءات فورية تساعد على كسب الوقت وتقليل الاندفاع</w:t>
      </w:r>
    </w:p>
    <w:tbl>
      <w:tblPr>
        <w:tblW w:type="auto" w:w="0"/>
        <w:jc w:val="center"/>
        <w:tblLayout w:type="autofit"/>
        <w:tblLook w:firstColumn="1" w:firstRow="1" w:lastColumn="0" w:lastRow="0" w:noHBand="0" w:noVBand="1" w:val="04A0"/>
      </w:tblPr>
      <w:tblGrid>
        <w:gridCol w:w="5102"/>
        <w:gridCol w:w="5102"/>
      </w:tblGrid>
      <w:tr>
        <w:trPr>
          <w:tblHeader w:val="true"/>
        </w:trPr>
        <w:tc>
          <w:tcPr>
            <w:tcW w:type="dxa" w:w="51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الخطوة التي يمكنني تجربتها دون انتظار شخص آخر</w:t>
            </w:r>
          </w:p>
        </w:tc>
        <w:tc>
          <w:tcPr>
            <w:tcW w:type="dxa" w:w="51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المدة أو المكان المناسب</w:t>
            </w:r>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32"/>
                <w:alias w:val="DKMH_08_F032"/>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33"/>
                <w:alias w:val="DKMH_08_F033"/>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34"/>
                <w:alias w:val="DKMH_08_F034"/>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35"/>
                <w:alias w:val="DKMH_08_F035"/>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80" w:type="dxa"/>
              <w:start w:w="90" w:type="dxa"/>
              <w:bottom w:w="80" w:type="dxa"/>
              <w:end w:w="90" w:type="dxa"/>
            </w:tcMar>
          </w:tcPr>
          <w:p>
            <w:pPr>
              <w:spacing w:after="0" w:before="0" w:line="240" w:lineRule="auto"/>
              <w:jc w:val="right"/>
              <w:bidi w:val="1"/>
            </w:pPr>
            <w:sdt>
              <w:sdtPr>
                <w:tag w:val="DKMH_08_F036"/>
                <w:alias w:val="DKMH_08_F036"/>
                <w:text/>
              </w:sdtPr>
              <w:sdtContent>
                <w:r>
                  <w:rPr>
                    <w:rFonts w:ascii="Noto Naskh Arabic" w:hAnsi="Noto Naskh Arabic" w:cs="Noto Naskh Arabic" w:eastAsia="Noto Naskh Arabic"/>
                    <w:b w:val="0"/>
                    <w:sz w:val="17"/>
                  </w:rPr>
                  <w:t>[اكتب هنا]</w:t>
                </w:r>
              </w:sdtContent>
            </w:sdt>
          </w:p>
        </w:tc>
        <w:tc>
          <w:tcPr>
            <w:tcW w:type="dxa" w:w="5102"/>
            <w:vAlign w:val="center"/>
            <w:tcMar>
              <w:top w:w="80" w:type="dxa"/>
              <w:start w:w="90" w:type="dxa"/>
              <w:bottom w:w="80" w:type="dxa"/>
              <w:end w:w="90" w:type="dxa"/>
            </w:tcMar>
          </w:tcPr>
          <w:p>
            <w:pPr>
              <w:spacing w:after="0" w:before="0" w:line="240" w:lineRule="auto"/>
              <w:jc w:val="right"/>
              <w:bidi w:val="1"/>
            </w:pPr>
            <w:sdt>
              <w:sdtPr>
                <w:tag w:val="DKMH_08_F037"/>
                <w:alias w:val="DKMH_08_F037"/>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و. أشخاص وأماكن آمنة للدعم أو الانتقال</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الشخص أو المكان</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وسيلة الوصول/التواصل</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ما الذي يساعدني فيه؟</w:t>
            </w:r>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38"/>
                <w:alias w:val="DKMH_08_F038"/>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39"/>
                <w:alias w:val="DKMH_08_F039"/>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0"/>
                <w:alias w:val="DKMH_08_F040"/>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41"/>
                <w:alias w:val="DKMH_08_F041"/>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2"/>
                <w:alias w:val="DKMH_08_F042"/>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3"/>
                <w:alias w:val="DKMH_08_F043"/>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ز. أدوار الأشخاص الموثوقين</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الاسم والعلاقة</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الهاتف</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ما الذي أطلبه منه؟</w:t>
            </w:r>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44"/>
                <w:alias w:val="DKMH_08_F044"/>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5"/>
                <w:alias w:val="DKMH_08_F045"/>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6"/>
                <w:alias w:val="DKMH_08_F046"/>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47"/>
                <w:alias w:val="DKMH_08_F047"/>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8"/>
                <w:alias w:val="DKMH_08_F048"/>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49"/>
                <w:alias w:val="DKMH_08_F049"/>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ح. الخدمات المهنية والطبية المحلية</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الجهة/المختص</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الهاتف/العنوان</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متى أتواصل؟</w:t>
            </w:r>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50"/>
                <w:alias w:val="DKMH_08_F050"/>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1"/>
                <w:alias w:val="DKMH_08_F051"/>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2"/>
                <w:alias w:val="DKMH_08_F052"/>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53"/>
                <w:alias w:val="DKMH_08_F053"/>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4"/>
                <w:alias w:val="DKMH_08_F054"/>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5"/>
                <w:alias w:val="DKMH_08_F055"/>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ط. السلامة البيئية وحفظ الأدوية والوسائل الخطرة</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الوسيلة أو الخطر المحتمل</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الخطوة العملية المتفق عليها</w:t>
            </w:r>
          </w:p>
        </w:tc>
        <w:tc>
          <w:tcPr>
            <w:tcW w:type="dxa" w:w="3402"/>
            <w:vAlign w:val="center"/>
            <w:tcMar>
              <w:top w:w="80" w:type="dxa"/>
              <w:start w:w="90" w:type="dxa"/>
              <w:bottom w:w="80" w:type="dxa"/>
              <w:end w:w="90" w:type="dxa"/>
            </w:tcMar>
            <w:shd w:fill="D9E8E6"/>
          </w:tcPr>
          <w:p>
            <w:pPr>
              <w:spacing w:after="0" w:before="0" w:line="240" w:lineRule="auto"/>
              <w:jc w:val="right"/>
              <w:bidi w:val="1"/>
            </w:pPr>
            <w:r>
              <w:rPr>
                <w:rFonts w:ascii="Noto Sans Arabic" w:hAnsi="Noto Sans Arabic" w:cs="Noto Sans Arabic" w:eastAsia="Noto Naskh Arabic"/>
                <w:b/>
                <w:color w:val="FFFFFF"/>
                <w:sz w:val="16"/>
              </w:rPr>
              <w:t>من يساعد ومتى؟</w:t>
            </w:r>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56"/>
                <w:alias w:val="DKMH_08_F056"/>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7"/>
                <w:alias w:val="DKMH_08_F057"/>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58"/>
                <w:alias w:val="DKMH_08_F058"/>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80" w:type="dxa"/>
              <w:start w:w="90" w:type="dxa"/>
              <w:bottom w:w="80" w:type="dxa"/>
              <w:end w:w="90" w:type="dxa"/>
            </w:tcMar>
          </w:tcPr>
          <w:p>
            <w:pPr>
              <w:spacing w:after="0" w:before="0" w:line="240" w:lineRule="auto"/>
              <w:jc w:val="right"/>
              <w:bidi w:val="1"/>
            </w:pPr>
            <w:sdt>
              <w:sdtPr>
                <w:tag w:val="DKMH_08_F059"/>
                <w:alias w:val="DKMH_08_F059"/>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60"/>
                <w:alias w:val="DKMH_08_F060"/>
                <w:text/>
              </w:sdtPr>
              <w:sdtContent>
                <w:r>
                  <w:rPr>
                    <w:rFonts w:ascii="Noto Naskh Arabic" w:hAnsi="Noto Naskh Arabic" w:cs="Noto Naskh Arabic" w:eastAsia="Noto Naskh Arabic"/>
                    <w:b w:val="0"/>
                    <w:sz w:val="17"/>
                  </w:rPr>
                  <w:t>[اكتب هنا]</w:t>
                </w:r>
              </w:sdtContent>
            </w:sdt>
          </w:p>
        </w:tc>
        <w:tc>
          <w:tcPr>
            <w:tcW w:type="dxa" w:w="3402"/>
            <w:vAlign w:val="center"/>
            <w:tcMar>
              <w:top w:w="80" w:type="dxa"/>
              <w:start w:w="90" w:type="dxa"/>
              <w:bottom w:w="80" w:type="dxa"/>
              <w:end w:w="90" w:type="dxa"/>
            </w:tcMar>
          </w:tcPr>
          <w:p>
            <w:pPr>
              <w:spacing w:after="0" w:before="0" w:line="240" w:lineRule="auto"/>
              <w:jc w:val="right"/>
              <w:bidi w:val="1"/>
            </w:pPr>
            <w:sdt>
              <w:sdtPr>
                <w:tag w:val="DKMH_08_F061"/>
                <w:alias w:val="DKMH_08_F061"/>
                <w:text/>
              </w:sdtPr>
              <w:sdtContent>
                <w:r>
                  <w:rPr>
                    <w:rFonts w:ascii="Noto Naskh Arabic" w:hAnsi="Noto Naskh Arabic" w:cs="Noto Naskh Arabic" w:eastAsia="Noto Naskh Arabic"/>
                    <w:b w:val="0"/>
                    <w:sz w:val="17"/>
                  </w:rPr>
                  <w:t>[اكتب هنا]</w:t>
                </w:r>
              </w:sdtContent>
            </w:sdt>
          </w:p>
        </w:tc>
      </w:tr>
    </w:tbl>
    <w:p>
      <w:pPr>
        <w:pStyle w:val="Heading2"/>
        <w:spacing w:after="40"/>
        <w:jc w:val="right"/>
        <w:bidi w:val="1"/>
      </w:pPr>
      <w:r>
        <w:rPr>
          <w:rFonts w:ascii="Noto Sans Arabic" w:hAnsi="Noto Sans Arabic" w:cs="Noto Sans Arabic" w:eastAsia="Noto Sans Arabic"/>
          <w:b/>
          <w:color w:val="315F55"/>
          <w:sz w:val="26"/>
        </w:rPr>
        <w:t>ي. ما أريد حمايته وما يساعدني على طلب المساعدة</w:t>
      </w:r>
    </w:p>
    <w:tbl>
      <w:tblPr>
        <w:tblW w:type="auto" w:w="0"/>
        <w:jc w:val="center"/>
        <w:tblLook w:firstColumn="1" w:firstRow="1" w:lastColumn="0" w:lastRow="0" w:noHBand="0" w:noVBand="1" w:val="04A0"/>
      </w:tblPr>
      <w:tblGrid>
        <w:gridCol w:w="5273"/>
        <w:gridCol w:w="5273"/>
      </w:tblGrid>
      <w:tr>
        <w:trPr>
          <w:tblHeader w:val="true"/>
        </w:trPr>
        <w:tc>
          <w:tcPr>
            <w:tcW w:type="dxa" w:w="4649"/>
            <w:vAlign w:val="center"/>
            <w:shd w:fill="D9E8E6"/>
          </w:tcPr>
          <w:p>
            <w:pPr>
              <w:jc w:val="right"/>
              <w:bidi/>
            </w:pPr>
            <w:r>
              <w:rPr>
                <w:rFonts w:ascii="Noto Sans Arabic" w:hAnsi="Noto Sans Arabic" w:cs="Noto Sans Arabic"/>
                <w:b/>
                <w:sz w:val="16"/>
              </w:rPr>
              <w:t>أشخاص أو قيم أو مسؤوليات أو أهداف أريد حمايتها</w:t>
            </w:r>
          </w:p>
        </w:tc>
        <w:tc>
          <w:tcPr>
            <w:tcW w:type="dxa" w:w="4649"/>
            <w:vAlign w:val="center"/>
            <w:shd w:fill="D9E8E6"/>
          </w:tcPr>
          <w:p>
            <w:pPr>
              <w:jc w:val="right"/>
              <w:bidi/>
            </w:pPr>
            <w:r>
              <w:rPr>
                <w:rFonts w:ascii="Noto Sans Arabic" w:hAnsi="Noto Sans Arabic" w:cs="Noto Sans Arabic"/>
                <w:b/>
                <w:sz w:val="16"/>
              </w:rPr>
              <w:t>كيف تساعدني على تأخير التصرف وطلب المساعدة؟</w:t>
            </w:r>
          </w:p>
        </w:tc>
      </w:tr>
      <w:tr>
        <w:tc>
          <w:tcPr>
            <w:tcW w:type="dxa" w:w="4649"/>
            <w:vAlign w:val="center"/>
          </w:tcPr>
          <w:p>
            <w:pPr>
              <w:jc w:val="right"/>
              <w:bidi/>
            </w:pPr>
            <w:r>
              <w:rPr>
                <w:rFonts w:ascii="Noto Sans Arabic" w:hAnsi="Noto Sans Arabic" w:cs="Noto Sans Arabic"/>
                <w:sz w:val="16"/>
              </w:rPr>
            </w:r>
          </w:p>
        </w:tc>
        <w:tc>
          <w:tcPr>
            <w:tcW w:type="dxa" w:w="4649"/>
            <w:vAlign w:val="center"/>
          </w:tcPr>
          <w:p>
            <w:pPr>
              <w:jc w:val="right"/>
              <w:bidi/>
            </w:pPr>
            <w:r>
              <w:rPr>
                <w:rFonts w:ascii="Noto Sans Arabic" w:hAnsi="Noto Sans Arabic" w:cs="Noto Sans Arabic"/>
                <w:sz w:val="16"/>
              </w:rPr>
            </w:r>
          </w:p>
        </w:tc>
      </w:tr>
      <w:tr>
        <w:tc>
          <w:tcPr>
            <w:tcW w:type="dxa" w:w="4649"/>
            <w:vAlign w:val="center"/>
          </w:tcPr>
          <w:p>
            <w:pPr>
              <w:jc w:val="right"/>
              <w:bidi/>
            </w:pPr>
            <w:r>
              <w:rPr>
                <w:rFonts w:ascii="Noto Sans Arabic" w:hAnsi="Noto Sans Arabic" w:cs="Noto Sans Arabic"/>
                <w:sz w:val="16"/>
              </w:rPr>
            </w:r>
          </w:p>
        </w:tc>
        <w:tc>
          <w:tcPr>
            <w:tcW w:type="dxa" w:w="4649"/>
            <w:vAlign w:val="center"/>
          </w:tcPr>
          <w:p>
            <w:pPr>
              <w:jc w:val="right"/>
              <w:bidi/>
            </w:pPr>
            <w:r>
              <w:rPr>
                <w:rFonts w:ascii="Noto Sans Arabic" w:hAnsi="Noto Sans Arabic" w:cs="Noto Sans Arabic"/>
                <w:sz w:val="16"/>
              </w:rPr>
            </w:r>
          </w:p>
        </w:tc>
      </w:tr>
    </w:tbl>
    <w:p>
      <w:pPr>
        <w:pStyle w:val="Heading2"/>
        <w:spacing w:after="40"/>
        <w:jc w:val="right"/>
        <w:bidi w:val="1"/>
      </w:pPr>
      <w:r>
        <w:rPr>
          <w:rFonts w:ascii="Noto Sans Arabic" w:hAnsi="Noto Sans Arabic" w:cs="Noto Sans Arabic" w:eastAsia="Noto Sans Arabic"/>
          <w:b/>
          <w:color w:val="315F55"/>
          <w:sz w:val="26"/>
        </w:rPr>
        <w:t>ك. تسلسل التصعيد والوصول إلى الرعاية</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6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عند ظهور الخطر</w:t>
            </w:r>
          </w:p>
        </w:tc>
        <w:tc>
          <w:tcPr>
            <w:tcW w:type="dxa" w:w="72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العملي</w:t>
            </w:r>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الخطوة الأولى</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4"/>
                <w:alias w:val="DKMH_08_F064"/>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الخطوة الثانية</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5"/>
                <w:alias w:val="DKMH_08_F06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مكان آمن يمكن الانتقال إليه</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6"/>
                <w:alias w:val="DKMH_08_F066"/>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إبعاد وسائل الأذى بصورة آمنة</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7"/>
                <w:alias w:val="DKMH_08_F067"/>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من سيرافق المراجع إلى الطوارئ؟</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8"/>
                <w:alias w:val="DKMH_08_F068"/>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أدوية/تقارير يجب أخذها</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8_F069"/>
                <w:alias w:val="DKMH_08_F069"/>
                <w:text/>
              </w:sdtPr>
              <w:sdtContent>
                <w:r>
                  <w:rPr>
                    <w:rFonts w:ascii="Noto Naskh Arabic" w:hAnsi="Noto Naskh Arabic" w:cs="Noto Naskh Arabic" w:eastAsia="Noto Naskh Arabic"/>
                    <w:color w:val="333333"/>
                    <w:sz w:val="18"/>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b/>
          <w:color w:val="315F55"/>
          <w:sz w:val="26"/>
        </w:rPr>
        <w:t>ل. توثيق الشرح والمشاركة وحدود السرية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jc w:val="right"/>
              <w:bidi/>
            </w:pPr>
            <w:r>
              <w:rPr>
                <w:rFonts w:ascii="Noto Sans Arabic" w:hAnsi="Noto Sans Arabic" w:cs="Noto Sans Arabic"/>
                <w:b/>
                <w:sz w:val="16"/>
              </w:rPr>
              <w:t>شرح حدود السرية</w:t>
              <w:br/>
              <w:t>تُحترم السرية المهنية، لكن عند وجود خطر جدي ووشيك أو التزام قانوني قد يشارك الممارس الحد الأدنى الضروري من المعلومات مع شخص موثوق أو مرفق طوارئ لحماية الحياة والسلامة. تم شرح أن هذه الخطة لا تنشئ ضماناً للسلامة ولا تُغني عن التقييم المستمر.</w:t>
            </w:r>
          </w:p>
        </w:tc>
      </w:tr>
    </w:tbl>
    <w:p>
      <w:pPr>
        <w:bidi w:val="1"/>
        <w:spacing w:after="40"/>
        <w:jc w:val="right"/>
      </w:pPr>
    </w:p>
    <w:tbl>
      <w:tblPr>
        <w:tblW w:type="auto" w:w="0"/>
        <w:jc w:val="center"/>
        <w:tblLook w:firstColumn="1" w:firstRow="1" w:lastColumn="0" w:lastRow="0" w:noHBand="0" w:noVBand="1" w:val="04A0"/>
      </w:tblPr>
      <w:tblGrid>
        <w:gridCol w:w="5273"/>
        <w:gridCol w:w="5273"/>
      </w:tblGrid>
      <w:tr>
        <w:trPr>
          <w:tblHeader w:val="true"/>
        </w:trPr>
        <w:tc>
          <w:tcPr>
            <w:tcW w:type="dxa" w:w="3969"/>
            <w:vAlign w:val="center"/>
            <w:shd w:fill="D9E8E6"/>
          </w:tcPr>
          <w:p>
            <w:pPr>
              <w:jc w:val="right"/>
              <w:bidi/>
            </w:pPr>
            <w:r>
              <w:rPr>
                <w:rFonts w:ascii="Noto Sans Arabic" w:hAnsi="Noto Sans Arabic" w:cs="Noto Sans Arabic"/>
                <w:b/>
                <w:sz w:val="16"/>
              </w:rPr>
              <w:t>توثيق المشاركة والمراجعة</w:t>
            </w:r>
          </w:p>
        </w:tc>
        <w:tc>
          <w:tcPr>
            <w:tcW w:type="dxa" w:w="5329"/>
            <w:vAlign w:val="center"/>
            <w:shd w:fill="D9E8E6"/>
          </w:tcPr>
          <w:p>
            <w:pPr>
              <w:jc w:val="right"/>
              <w:bidi/>
            </w:pPr>
            <w:r>
              <w:rPr>
                <w:rFonts w:ascii="Noto Sans Arabic" w:hAnsi="Noto Sans Arabic" w:cs="Noto Sans Arabic"/>
                <w:b/>
                <w:sz w:val="16"/>
              </w:rPr>
              <w:t>الحالة/التفاصيل</w:t>
            </w:r>
          </w:p>
        </w:tc>
      </w:tr>
      <w:tr>
        <w:tc>
          <w:tcPr>
            <w:tcW w:type="dxa" w:w="3969"/>
            <w:vAlign w:val="center"/>
          </w:tcPr>
          <w:p>
            <w:pPr>
              <w:jc w:val="right"/>
              <w:bidi/>
            </w:pPr>
            <w:r>
              <w:rPr>
                <w:rFonts w:ascii="Noto Sans Arabic" w:hAnsi="Noto Sans Arabic" w:cs="Noto Sans Arabic"/>
                <w:sz w:val="16"/>
              </w:rPr>
              <w:t>تم إعداد الخطة بالتعاون مع المراجع</w:t>
            </w:r>
          </w:p>
        </w:tc>
        <w:tc>
          <w:tcPr>
            <w:tcW w:type="dxa" w:w="5329"/>
            <w:vAlign w:val="center"/>
          </w:tcPr>
          <w:p>
            <w:pPr>
              <w:jc w:val="right"/>
              <w:bidi/>
            </w:pPr>
            <w:r>
              <w:rPr>
                <w:rFonts w:ascii="Noto Sans Arabic" w:hAnsi="Noto Sans Arabic" w:cs="Noto Sans Arabic"/>
                <w:sz w:val="16"/>
              </w:rPr>
              <w:t>☐ نعم ☐ لا — السبب إن لم تتم المشاركة:</w:t>
            </w:r>
          </w:p>
        </w:tc>
      </w:tr>
      <w:tr>
        <w:tc>
          <w:tcPr>
            <w:tcW w:type="dxa" w:w="3969"/>
            <w:vAlign w:val="center"/>
          </w:tcPr>
          <w:p>
            <w:pPr>
              <w:jc w:val="right"/>
              <w:bidi/>
            </w:pPr>
            <w:r>
              <w:rPr>
                <w:rFonts w:ascii="Noto Sans Arabic" w:hAnsi="Noto Sans Arabic" w:cs="Noto Sans Arabic"/>
                <w:sz w:val="16"/>
              </w:rPr>
              <w:t>تم إشراك شخص موثوق</w:t>
            </w:r>
          </w:p>
        </w:tc>
        <w:tc>
          <w:tcPr>
            <w:tcW w:type="dxa" w:w="5329"/>
            <w:vAlign w:val="center"/>
          </w:tcPr>
          <w:p>
            <w:pPr>
              <w:jc w:val="right"/>
              <w:bidi/>
            </w:pPr>
            <w:r>
              <w:rPr>
                <w:rFonts w:ascii="Noto Sans Arabic" w:hAnsi="Noto Sans Arabic" w:cs="Noto Sans Arabic"/>
                <w:sz w:val="16"/>
              </w:rPr>
              <w:t>☐ بموافقة المراجع ☐ لضرورة السلامة ☐ غير منطبق</w:t>
            </w:r>
          </w:p>
        </w:tc>
      </w:tr>
      <w:tr>
        <w:tc>
          <w:tcPr>
            <w:tcW w:type="dxa" w:w="3969"/>
            <w:vAlign w:val="center"/>
          </w:tcPr>
          <w:p>
            <w:pPr>
              <w:jc w:val="right"/>
              <w:bidi/>
            </w:pPr>
            <w:r>
              <w:rPr>
                <w:rFonts w:ascii="Noto Sans Arabic" w:hAnsi="Noto Sans Arabic" w:cs="Noto Sans Arabic"/>
                <w:sz w:val="16"/>
              </w:rPr>
              <w:t>تم تسليم نسخة أو تأكيد مكان الوصول إليها</w:t>
            </w:r>
          </w:p>
        </w:tc>
        <w:tc>
          <w:tcPr>
            <w:tcW w:type="dxa" w:w="5329"/>
            <w:vAlign w:val="center"/>
          </w:tcPr>
          <w:p>
            <w:pPr>
              <w:jc w:val="right"/>
              <w:bidi/>
            </w:pPr>
            <w:r>
              <w:rPr>
                <w:rFonts w:ascii="Noto Sans Arabic" w:hAnsi="Noto Sans Arabic" w:cs="Noto Sans Arabic"/>
                <w:sz w:val="16"/>
              </w:rPr>
              <w:t>☐ نعم ☐ لا</w:t>
            </w:r>
          </w:p>
        </w:tc>
      </w:tr>
      <w:tr>
        <w:tc>
          <w:tcPr>
            <w:tcW w:type="dxa" w:w="3969"/>
            <w:vAlign w:val="center"/>
          </w:tcPr>
          <w:p>
            <w:pPr>
              <w:jc w:val="right"/>
              <w:bidi/>
            </w:pPr>
            <w:r>
              <w:rPr>
                <w:rFonts w:ascii="Noto Sans Arabic" w:hAnsi="Noto Sans Arabic" w:cs="Noto Sans Arabic"/>
                <w:sz w:val="16"/>
              </w:rPr>
              <w:t>تمت مراجعة العوائق المحتملة لاستخدام الخطة</w:t>
            </w:r>
          </w:p>
        </w:tc>
        <w:tc>
          <w:tcPr>
            <w:tcW w:type="dxa" w:w="5329"/>
            <w:vAlign w:val="center"/>
          </w:tcPr>
          <w:p>
            <w:pPr>
              <w:jc w:val="right"/>
              <w:bidi/>
            </w:pPr>
            <w:r>
              <w:rPr>
                <w:rFonts w:ascii="Noto Sans Arabic" w:hAnsi="Noto Sans Arabic" w:cs="Noto Sans Arabic"/>
                <w:sz w:val="16"/>
              </w:rPr>
              <w:t>☐ نعم ☐ لا</w:t>
            </w:r>
          </w:p>
        </w:tc>
      </w:tr>
      <w:tr>
        <w:tc>
          <w:tcPr>
            <w:tcW w:type="dxa" w:w="3969"/>
            <w:vAlign w:val="center"/>
          </w:tcPr>
          <w:p>
            <w:pPr>
              <w:jc w:val="right"/>
              <w:bidi/>
            </w:pPr>
            <w:r>
              <w:rPr>
                <w:rFonts w:ascii="Noto Sans Arabic" w:hAnsi="Noto Sans Arabic" w:cs="Noto Sans Arabic"/>
                <w:sz w:val="16"/>
              </w:rPr>
              <w:t>اسم الممارس وصفته</w:t>
            </w:r>
          </w:p>
        </w:tc>
        <w:tc>
          <w:tcPr>
            <w:tcW w:type="dxa" w:w="5329"/>
            <w:vAlign w:val="center"/>
          </w:tcPr>
          <w:p>
            <w:pPr>
              <w:jc w:val="right"/>
              <w:bidi/>
            </w:pPr>
            <w:r>
              <w:rPr>
                <w:rFonts w:ascii="Noto Sans Arabic" w:hAnsi="Noto Sans Arabic" w:cs="Noto Sans Arabic"/>
                <w:sz w:val="16"/>
              </w:rPr>
            </w:r>
          </w:p>
        </w:tc>
      </w:tr>
      <w:tr>
        <w:tc>
          <w:tcPr>
            <w:tcW w:type="dxa" w:w="3969"/>
            <w:vAlign w:val="center"/>
          </w:tcPr>
          <w:p>
            <w:pPr>
              <w:jc w:val="right"/>
              <w:bidi/>
            </w:pPr>
            <w:r>
              <w:rPr>
                <w:rFonts w:ascii="Noto Sans Arabic" w:hAnsi="Noto Sans Arabic" w:cs="Noto Sans Arabic"/>
                <w:sz w:val="16"/>
              </w:rPr>
              <w:t>تاريخ المراجعة والموعد التالي</w:t>
            </w:r>
          </w:p>
        </w:tc>
        <w:tc>
          <w:tcPr>
            <w:tcW w:type="dxa" w:w="5329"/>
            <w:vAlign w:val="center"/>
          </w:tcPr>
          <w:p>
            <w:pPr>
              <w:jc w:val="right"/>
              <w:bidi/>
            </w:pPr>
            <w:r>
              <w:rPr>
                <w:rFonts w:ascii="Noto Sans Arabic" w:hAnsi="Noto Sans Arabic" w:cs="Noto Sans Arabic"/>
                <w:sz w:val="16"/>
              </w:rPr>
            </w:r>
          </w:p>
        </w:tc>
      </w:tr>
    </w:tbl>
    <w:p>
      <w:pPr>
        <w:bidi w:val="1"/>
        <w:spacing w:after="40"/>
        <w:jc w:val="right"/>
      </w:pPr>
    </w:p>
    <w:p>
      <w:pPr>
        <w:spacing w:after="40"/>
        <w:jc w:val="right"/>
        <w:bidi w:val="1"/>
      </w:pPr>
      <w:r>
        <w:t>مرجعية التصميم: مبادئ إدارة الطوارئ في الرعاية السلوكية عن بُعد، والتخطيط المحلي للتصعيد، وتقليل الوصول إلى الوسائل الخطرة. هذا النموذج صياغة تشغيلية أصلية للعيادة وليست ترجمة أو تكييفاً لنموذج منشور بعينه. راجع: HHS Telebehavioral Health Emergency Plan؛ APA/ATA Best Practices in Videoconferencing-Based Telemental Health.</w:t>
      </w:r>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3"/>
      <w:footerReference w:type="first" r:id="rId14"/>
      <w:headerReference w:type="even" r:id="rId15"/>
      <w:footerReference w:type="even" r:id="rId16"/>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psychiatry.org/psychiatrists/practice/telepsychiatry/toolkit/patient-safety-and-emergency-management" TargetMode="External"/><Relationship Id="rId12" Type="http://schemas.openxmlformats.org/officeDocument/2006/relationships/hyperlink" Target="https://www.psychiatry.org/getmedia/05b9b9cb-dbb5-4df8-8948-e2b9bd659b55/APA-ATA-Best-Practices-in-Videoconferencing-Based-Telemental-Health.pdf"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خطة الأمان والتحويل في الرعاية عن بُعد</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